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0E46C0">
      <w:pPr>
        <w:widowControl/>
        <w:spacing w:line="380" w:lineRule="exact"/>
        <w:jc w:val="left"/>
        <w:rPr>
          <w:rFonts w:ascii="方正仿宋_GBK" w:hAnsi="宋体" w:eastAsia="方正仿宋_GBK" w:cstheme="minorEastAsia"/>
          <w:b/>
          <w:bCs/>
          <w:kern w:val="0"/>
          <w:sz w:val="24"/>
          <w:szCs w:val="24"/>
        </w:rPr>
      </w:pPr>
      <w:r>
        <w:rPr>
          <w:rFonts w:hint="eastAsia" w:ascii="方正仿宋_GBK" w:hAnsi="宋体" w:eastAsia="方正仿宋_GBK" w:cstheme="minorEastAsia"/>
          <w:b/>
          <w:bCs/>
          <w:kern w:val="0"/>
          <w:sz w:val="24"/>
          <w:szCs w:val="24"/>
        </w:rPr>
        <w:t xml:space="preserve">附件一                                </w:t>
      </w:r>
    </w:p>
    <w:p w14:paraId="6A84ACE4">
      <w:pPr>
        <w:spacing w:line="380" w:lineRule="exact"/>
        <w:jc w:val="center"/>
        <w:rPr>
          <w:rFonts w:ascii="方正仿宋_GBK" w:hAnsi="宋体" w:eastAsia="方正仿宋_GBK" w:cs="Times New Roman"/>
          <w:b/>
          <w:sz w:val="24"/>
          <w:szCs w:val="24"/>
        </w:rPr>
      </w:pPr>
      <w:r>
        <w:rPr>
          <w:rFonts w:hint="eastAsia" w:ascii="方正仿宋_GBK" w:hAnsi="宋体" w:eastAsia="方正仿宋_GBK" w:cstheme="minorEastAsia"/>
          <w:b/>
          <w:bCs/>
          <w:kern w:val="0"/>
          <w:sz w:val="24"/>
          <w:szCs w:val="24"/>
        </w:rPr>
        <w:t>四川蜀道装备科技股份有限公司</w:t>
      </w:r>
      <w:r>
        <w:rPr>
          <w:rFonts w:hint="eastAsia" w:ascii="方正仿宋_GBK" w:hAnsi="宋体" w:eastAsia="方正仿宋_GBK" w:cs="Arial"/>
          <w:b/>
          <w:sz w:val="24"/>
          <w:szCs w:val="24"/>
        </w:rPr>
        <w:t>项目</w:t>
      </w:r>
      <w:r>
        <w:rPr>
          <w:rFonts w:hint="eastAsia" w:ascii="方正仿宋_GBK" w:hAnsi="宋体" w:eastAsia="方正仿宋_GBK" w:cs="Times New Roman"/>
          <w:b/>
          <w:sz w:val="24"/>
          <w:szCs w:val="24"/>
        </w:rPr>
        <w:t>询价文件</w:t>
      </w:r>
    </w:p>
    <w:p w14:paraId="07E5758D">
      <w:pPr>
        <w:numPr>
          <w:ilvl w:val="0"/>
          <w:numId w:val="1"/>
        </w:numPr>
        <w:spacing w:line="380" w:lineRule="exact"/>
        <w:rPr>
          <w:rFonts w:ascii="方正仿宋_GBK" w:hAnsi="宋体" w:eastAsia="方正仿宋_GBK" w:cs="Times New Roman"/>
          <w:b/>
          <w:sz w:val="24"/>
          <w:szCs w:val="24"/>
        </w:rPr>
      </w:pPr>
      <w:r>
        <w:rPr>
          <w:rFonts w:hint="eastAsia" w:ascii="方正仿宋_GBK" w:hAnsi="宋体" w:eastAsia="方正仿宋_GBK" w:cs="Times New Roman"/>
          <w:b/>
          <w:sz w:val="24"/>
          <w:szCs w:val="24"/>
        </w:rPr>
        <w:t>询 价 文 件 内 容</w:t>
      </w:r>
    </w:p>
    <w:tbl>
      <w:tblPr>
        <w:tblStyle w:val="7"/>
        <w:tblW w:w="907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60"/>
        <w:gridCol w:w="7512"/>
      </w:tblGrid>
      <w:tr w14:paraId="608157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0" w:type="dxa"/>
          </w:tcPr>
          <w:p w14:paraId="790AE9F7">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采购人</w:t>
            </w:r>
          </w:p>
        </w:tc>
        <w:tc>
          <w:tcPr>
            <w:tcW w:w="7512" w:type="dxa"/>
          </w:tcPr>
          <w:p w14:paraId="52055FD0">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kern w:val="0"/>
                <w:sz w:val="24"/>
                <w:szCs w:val="24"/>
              </w:rPr>
              <w:t>四川蜀道装备科技股份有限公司</w:t>
            </w:r>
          </w:p>
        </w:tc>
      </w:tr>
      <w:tr w14:paraId="0C32FB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0" w:type="dxa"/>
          </w:tcPr>
          <w:p w14:paraId="08AA1CFA">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采购内容</w:t>
            </w:r>
          </w:p>
        </w:tc>
        <w:tc>
          <w:tcPr>
            <w:tcW w:w="7512" w:type="dxa"/>
          </w:tcPr>
          <w:p w14:paraId="310B7086">
            <w:pPr>
              <w:spacing w:line="380" w:lineRule="exact"/>
              <w:rPr>
                <w:rFonts w:hint="eastAsia" w:ascii="方正仿宋_GBK" w:hAnsi="宋体" w:eastAsia="方正仿宋_GBK" w:cstheme="minorEastAsia"/>
                <w:sz w:val="24"/>
                <w:szCs w:val="24"/>
                <w:lang w:eastAsia="zh-CN"/>
              </w:rPr>
            </w:pPr>
            <w:r>
              <w:rPr>
                <w:rFonts w:hint="eastAsia" w:ascii="方正仿宋_GBK" w:hAnsi="宋体" w:eastAsia="方正仿宋_GBK" w:cstheme="minorEastAsia"/>
                <w:color w:val="auto"/>
                <w:sz w:val="24"/>
                <w:szCs w:val="24"/>
                <w:u w:val="single"/>
                <w:lang w:val="en-US" w:eastAsia="zh-CN"/>
              </w:rPr>
              <w:t>“一厂一策”绩效升级</w:t>
            </w:r>
            <w:r>
              <w:rPr>
                <w:rFonts w:hint="eastAsia" w:ascii="方正仿宋_GBK" w:hAnsi="宋体" w:eastAsia="方正仿宋_GBK" w:cstheme="minorEastAsia"/>
                <w:color w:val="auto"/>
                <w:sz w:val="24"/>
                <w:szCs w:val="24"/>
                <w:u w:val="single"/>
              </w:rPr>
              <w:t>项目</w:t>
            </w:r>
            <w:r>
              <w:rPr>
                <w:rFonts w:hint="eastAsia" w:ascii="方正仿宋_GBK" w:hAnsi="宋体" w:eastAsia="方正仿宋_GBK" w:cstheme="minorEastAsia"/>
                <w:sz w:val="24"/>
                <w:szCs w:val="24"/>
              </w:rPr>
              <w:t>采购，具体规格、型号、数量详见报价清单</w:t>
            </w:r>
            <w:r>
              <w:rPr>
                <w:rFonts w:hint="eastAsia" w:ascii="方正仿宋_GBK" w:hAnsi="宋体" w:eastAsia="方正仿宋_GBK" w:cstheme="minorEastAsia"/>
                <w:sz w:val="24"/>
                <w:szCs w:val="24"/>
                <w:lang w:eastAsia="zh-CN"/>
              </w:rPr>
              <w:t>，</w:t>
            </w:r>
          </w:p>
        </w:tc>
      </w:tr>
      <w:tr w14:paraId="3DE374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0" w:type="dxa"/>
          </w:tcPr>
          <w:p w14:paraId="52039996">
            <w:pPr>
              <w:spacing w:line="380" w:lineRule="exact"/>
              <w:rPr>
                <w:rFonts w:hint="eastAsia" w:ascii="方正仿宋_GBK" w:hAnsi="宋体" w:eastAsia="方正仿宋_GBK" w:cstheme="minorEastAsia"/>
                <w:sz w:val="24"/>
                <w:szCs w:val="24"/>
                <w:lang w:val="en-US" w:eastAsia="zh-CN"/>
              </w:rPr>
            </w:pPr>
            <w:r>
              <w:rPr>
                <w:rFonts w:hint="eastAsia" w:ascii="方正仿宋_GBK" w:hAnsi="宋体" w:eastAsia="方正仿宋_GBK" w:cstheme="minorEastAsia"/>
                <w:sz w:val="24"/>
                <w:szCs w:val="24"/>
                <w:lang w:val="en-US" w:eastAsia="zh-CN"/>
              </w:rPr>
              <w:t>公司当前</w:t>
            </w:r>
          </w:p>
          <w:p w14:paraId="12788780">
            <w:pPr>
              <w:spacing w:line="380" w:lineRule="exact"/>
              <w:rPr>
                <w:rFonts w:hint="default" w:ascii="方正仿宋_GBK" w:hAnsi="宋体" w:eastAsia="方正仿宋_GBK" w:cstheme="minorEastAsia"/>
                <w:sz w:val="24"/>
                <w:szCs w:val="24"/>
                <w:lang w:val="en-US" w:eastAsia="zh-CN"/>
              </w:rPr>
            </w:pPr>
            <w:r>
              <w:rPr>
                <w:rFonts w:hint="eastAsia" w:ascii="方正仿宋_GBK" w:hAnsi="宋体" w:eastAsia="方正仿宋_GBK" w:cstheme="minorEastAsia"/>
                <w:sz w:val="24"/>
                <w:szCs w:val="24"/>
                <w:lang w:val="en-US" w:eastAsia="zh-CN"/>
              </w:rPr>
              <w:t>绩效简介</w:t>
            </w:r>
          </w:p>
        </w:tc>
        <w:tc>
          <w:tcPr>
            <w:tcW w:w="7512" w:type="dxa"/>
          </w:tcPr>
          <w:p w14:paraId="41C91A0C">
            <w:pPr>
              <w:spacing w:line="380" w:lineRule="exact"/>
              <w:rPr>
                <w:rFonts w:hint="default" w:ascii="方正仿宋_GBK" w:hAnsi="宋体" w:eastAsia="方正仿宋_GBK" w:cstheme="minorEastAsia"/>
                <w:sz w:val="24"/>
                <w:szCs w:val="24"/>
                <w:lang w:val="en-US" w:eastAsia="zh-CN"/>
              </w:rPr>
            </w:pPr>
            <w:r>
              <w:rPr>
                <w:rFonts w:hint="eastAsia" w:ascii="方正仿宋_GBK" w:hAnsi="宋体" w:eastAsia="方正仿宋_GBK" w:cstheme="minorEastAsia"/>
                <w:sz w:val="24"/>
                <w:szCs w:val="24"/>
                <w:lang w:val="en-US" w:eastAsia="zh-CN"/>
              </w:rPr>
              <w:t>公司现“一厂一策”绩效为C及管理，2023年10月大气污染治理设施技改为：干式过滤+活性炭+催化燃烧，运输管理未设置门禁系统，其余实际情况请到现场了解。</w:t>
            </w:r>
          </w:p>
        </w:tc>
      </w:tr>
      <w:tr w14:paraId="04388C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0" w:type="dxa"/>
          </w:tcPr>
          <w:p w14:paraId="737B5949">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服务地点</w:t>
            </w:r>
          </w:p>
        </w:tc>
        <w:tc>
          <w:tcPr>
            <w:tcW w:w="7512" w:type="dxa"/>
          </w:tcPr>
          <w:p w14:paraId="18BFCC54">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成都市郫都区同善桥路5</w:t>
            </w:r>
            <w:r>
              <w:rPr>
                <w:rFonts w:ascii="方正仿宋_GBK" w:hAnsi="宋体" w:eastAsia="方正仿宋_GBK" w:cstheme="minorEastAsia"/>
                <w:sz w:val="24"/>
                <w:szCs w:val="24"/>
              </w:rPr>
              <w:t>69</w:t>
            </w:r>
            <w:r>
              <w:rPr>
                <w:rFonts w:hint="eastAsia" w:ascii="方正仿宋_GBK" w:hAnsi="宋体" w:eastAsia="方正仿宋_GBK" w:cstheme="minorEastAsia"/>
                <w:sz w:val="24"/>
                <w:szCs w:val="24"/>
              </w:rPr>
              <w:t>号</w:t>
            </w:r>
          </w:p>
        </w:tc>
      </w:tr>
      <w:tr w14:paraId="2A67BC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0" w:type="dxa"/>
          </w:tcPr>
          <w:p w14:paraId="1E2E16E3">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服务期</w:t>
            </w:r>
          </w:p>
        </w:tc>
        <w:tc>
          <w:tcPr>
            <w:tcW w:w="7512" w:type="dxa"/>
          </w:tcPr>
          <w:p w14:paraId="463CD36F">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本次采购服务期起止时间为</w:t>
            </w:r>
            <w:r>
              <w:rPr>
                <w:rFonts w:hint="eastAsia" w:ascii="方正仿宋_GBK" w:hAnsi="宋体" w:eastAsia="方正仿宋_GBK" w:cstheme="minorEastAsia"/>
                <w:sz w:val="24"/>
                <w:szCs w:val="24"/>
                <w:lang w:val="en-US" w:eastAsia="zh-CN"/>
              </w:rPr>
              <w:t>2024</w:t>
            </w:r>
            <w:r>
              <w:rPr>
                <w:rFonts w:hint="eastAsia" w:ascii="方正仿宋_GBK" w:hAnsi="宋体" w:eastAsia="方正仿宋_GBK" w:cstheme="minorEastAsia"/>
                <w:sz w:val="24"/>
                <w:szCs w:val="24"/>
              </w:rPr>
              <w:t>年</w:t>
            </w:r>
            <w:r>
              <w:rPr>
                <w:rFonts w:hint="eastAsia" w:ascii="方正仿宋_GBK" w:hAnsi="宋体" w:eastAsia="方正仿宋_GBK" w:cstheme="minorEastAsia"/>
                <w:sz w:val="24"/>
                <w:szCs w:val="24"/>
                <w:lang w:val="en-US" w:eastAsia="zh-CN"/>
              </w:rPr>
              <w:t>8</w:t>
            </w:r>
            <w:r>
              <w:rPr>
                <w:rFonts w:hint="eastAsia" w:ascii="方正仿宋_GBK" w:hAnsi="宋体" w:eastAsia="方正仿宋_GBK" w:cstheme="minorEastAsia"/>
                <w:sz w:val="24"/>
                <w:szCs w:val="24"/>
              </w:rPr>
              <w:t>月</w:t>
            </w:r>
            <w:r>
              <w:rPr>
                <w:rFonts w:hint="eastAsia" w:ascii="方正仿宋_GBK" w:hAnsi="宋体" w:eastAsia="方正仿宋_GBK" w:cstheme="minorEastAsia"/>
                <w:sz w:val="24"/>
                <w:szCs w:val="24"/>
                <w:lang w:val="en-US" w:eastAsia="zh-CN"/>
              </w:rPr>
              <w:t>15</w:t>
            </w:r>
            <w:r>
              <w:rPr>
                <w:rFonts w:hint="eastAsia" w:ascii="方正仿宋_GBK" w:hAnsi="宋体" w:eastAsia="方正仿宋_GBK" w:cstheme="minorEastAsia"/>
                <w:sz w:val="24"/>
                <w:szCs w:val="24"/>
              </w:rPr>
              <w:t>日至</w:t>
            </w:r>
            <w:r>
              <w:rPr>
                <w:rFonts w:hint="eastAsia" w:ascii="方正仿宋_GBK" w:hAnsi="宋体" w:eastAsia="方正仿宋_GBK" w:cstheme="minorEastAsia"/>
                <w:sz w:val="24"/>
                <w:szCs w:val="24"/>
                <w:lang w:eastAsia="zh-CN"/>
              </w:rPr>
              <w:t>“</w:t>
            </w:r>
            <w:r>
              <w:rPr>
                <w:rFonts w:hint="eastAsia" w:ascii="方正仿宋_GBK" w:hAnsi="宋体" w:eastAsia="方正仿宋_GBK" w:cstheme="minorEastAsia"/>
                <w:sz w:val="24"/>
                <w:szCs w:val="24"/>
                <w:lang w:val="en-US" w:eastAsia="zh-CN"/>
              </w:rPr>
              <w:t>一厂一策</w:t>
            </w:r>
            <w:r>
              <w:rPr>
                <w:rFonts w:hint="eastAsia" w:ascii="方正仿宋_GBK" w:hAnsi="宋体" w:eastAsia="方正仿宋_GBK" w:cstheme="minorEastAsia"/>
                <w:sz w:val="24"/>
                <w:szCs w:val="24"/>
                <w:lang w:eastAsia="zh-CN"/>
              </w:rPr>
              <w:t>”</w:t>
            </w:r>
            <w:r>
              <w:rPr>
                <w:rFonts w:hint="eastAsia" w:ascii="方正仿宋_GBK" w:hAnsi="宋体" w:eastAsia="方正仿宋_GBK" w:cstheme="minorEastAsia"/>
                <w:sz w:val="24"/>
                <w:szCs w:val="24"/>
                <w:lang w:val="en-US" w:eastAsia="zh-CN"/>
              </w:rPr>
              <w:t>绩效B级评审通过</w:t>
            </w:r>
            <w:r>
              <w:rPr>
                <w:rFonts w:hint="eastAsia" w:ascii="方正仿宋_GBK" w:hAnsi="宋体" w:eastAsia="方正仿宋_GBK" w:cstheme="minorEastAsia"/>
                <w:sz w:val="24"/>
                <w:szCs w:val="24"/>
              </w:rPr>
              <w:t>。</w:t>
            </w:r>
          </w:p>
        </w:tc>
      </w:tr>
      <w:tr w14:paraId="3F81AF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0" w:type="dxa"/>
          </w:tcPr>
          <w:p w14:paraId="0F8DF2A8">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服务商资格要求</w:t>
            </w:r>
          </w:p>
        </w:tc>
        <w:tc>
          <w:tcPr>
            <w:tcW w:w="7512" w:type="dxa"/>
          </w:tcPr>
          <w:p w14:paraId="020EF6E7">
            <w:pPr>
              <w:spacing w:line="380" w:lineRule="exact"/>
              <w:rPr>
                <w:rFonts w:ascii="方正仿宋_GBK" w:hAnsi="宋体" w:eastAsia="方正仿宋_GBK" w:cstheme="minorEastAsia"/>
                <w:sz w:val="24"/>
                <w:szCs w:val="24"/>
                <w:lang w:val="zh-TW"/>
              </w:rPr>
            </w:pPr>
            <w:r>
              <w:rPr>
                <w:rFonts w:hint="eastAsia" w:ascii="方正仿宋_GBK" w:hAnsi="宋体" w:eastAsia="方正仿宋_GBK" w:cstheme="minorEastAsia"/>
                <w:sz w:val="24"/>
                <w:szCs w:val="24"/>
                <w:lang w:val="zh-TW"/>
              </w:rPr>
              <w:t>1、</w:t>
            </w:r>
            <w:r>
              <w:rPr>
                <w:rFonts w:hint="eastAsia" w:ascii="方正仿宋_GBK" w:hAnsi="宋体" w:eastAsia="方正仿宋_GBK" w:cstheme="minorEastAsia"/>
                <w:sz w:val="24"/>
                <w:szCs w:val="24"/>
                <w:lang w:val="en-US" w:eastAsia="zh-CN"/>
              </w:rPr>
              <w:t>公司注册地址在大成都范围内，</w:t>
            </w:r>
            <w:r>
              <w:rPr>
                <w:rFonts w:hint="eastAsia" w:ascii="方正仿宋_GBK" w:hAnsi="宋体" w:eastAsia="方正仿宋_GBK" w:cstheme="minorEastAsia"/>
                <w:sz w:val="24"/>
                <w:szCs w:val="24"/>
              </w:rPr>
              <w:t>具有独立法人资格</w:t>
            </w:r>
            <w:r>
              <w:rPr>
                <w:rFonts w:hint="eastAsia" w:ascii="方正仿宋_GBK" w:hAnsi="宋体" w:eastAsia="方正仿宋_GBK" w:cstheme="minorEastAsia"/>
                <w:sz w:val="24"/>
                <w:szCs w:val="24"/>
                <w:lang w:val="zh-TW"/>
              </w:rPr>
              <w:t>，具有有效营业执照。经营范围涵盖本次采购内容。</w:t>
            </w:r>
          </w:p>
          <w:p w14:paraId="0A3453B4">
            <w:pPr>
              <w:spacing w:line="380" w:lineRule="exact"/>
              <w:rPr>
                <w:rFonts w:ascii="方正仿宋_GBK" w:hAnsi="宋体" w:eastAsia="PMingLiU" w:cstheme="minorEastAsia"/>
                <w:sz w:val="24"/>
                <w:szCs w:val="24"/>
                <w:lang w:val="zh-TW" w:eastAsia="zh-TW"/>
              </w:rPr>
            </w:pPr>
            <w:r>
              <w:rPr>
                <w:rFonts w:hint="eastAsia" w:ascii="方正仿宋_GBK" w:hAnsi="宋体" w:eastAsia="方正仿宋_GBK" w:cstheme="minorEastAsia"/>
                <w:sz w:val="24"/>
                <w:szCs w:val="24"/>
                <w:lang w:val="en-US" w:eastAsia="zh-CN"/>
              </w:rPr>
              <w:t>2</w:t>
            </w:r>
            <w:r>
              <w:rPr>
                <w:rFonts w:hint="eastAsia" w:ascii="方正仿宋_GBK" w:hAnsi="宋体" w:eastAsia="方正仿宋_GBK" w:cstheme="minorEastAsia"/>
                <w:sz w:val="24"/>
                <w:szCs w:val="24"/>
                <w:lang w:val="zh-TW"/>
              </w:rPr>
              <w:t>、具有至少1个</w:t>
            </w:r>
            <w:r>
              <w:rPr>
                <w:rFonts w:hint="eastAsia" w:ascii="方正仿宋_GBK" w:hAnsi="宋体" w:eastAsia="方正仿宋_GBK" w:cstheme="minorEastAsia"/>
                <w:sz w:val="24"/>
                <w:szCs w:val="24"/>
                <w:lang w:val="zh-TW" w:eastAsia="zh-CN"/>
              </w:rPr>
              <w:t>“</w:t>
            </w:r>
            <w:r>
              <w:rPr>
                <w:rFonts w:hint="eastAsia" w:ascii="方正仿宋_GBK" w:hAnsi="宋体" w:eastAsia="方正仿宋_GBK" w:cstheme="minorEastAsia"/>
                <w:sz w:val="24"/>
                <w:szCs w:val="24"/>
                <w:lang w:val="en-US" w:eastAsia="zh-CN"/>
              </w:rPr>
              <w:t>一厂一策</w:t>
            </w:r>
            <w:r>
              <w:rPr>
                <w:rFonts w:hint="eastAsia" w:ascii="方正仿宋_GBK" w:hAnsi="宋体" w:eastAsia="方正仿宋_GBK" w:cstheme="minorEastAsia"/>
                <w:sz w:val="24"/>
                <w:szCs w:val="24"/>
                <w:lang w:val="zh-TW" w:eastAsia="zh-CN"/>
              </w:rPr>
              <w:t>”</w:t>
            </w:r>
            <w:r>
              <w:rPr>
                <w:rFonts w:hint="eastAsia" w:ascii="方正仿宋_GBK" w:hAnsi="宋体" w:eastAsia="方正仿宋_GBK" w:cstheme="minorEastAsia"/>
                <w:sz w:val="24"/>
                <w:szCs w:val="24"/>
                <w:lang w:val="en-US" w:eastAsia="zh-CN"/>
              </w:rPr>
              <w:t>C级升B级国企合作</w:t>
            </w:r>
            <w:r>
              <w:rPr>
                <w:rFonts w:hint="eastAsia" w:ascii="方正仿宋_GBK" w:hAnsi="宋体" w:eastAsia="方正仿宋_GBK" w:cstheme="minorEastAsia"/>
                <w:sz w:val="24"/>
                <w:szCs w:val="24"/>
                <w:lang w:bidi="en-US"/>
              </w:rPr>
              <w:t>项目业绩</w:t>
            </w:r>
            <w:r>
              <w:rPr>
                <w:rFonts w:hint="eastAsia" w:ascii="方正仿宋_GBK" w:hAnsi="宋体" w:eastAsia="方正仿宋_GBK" w:cstheme="minorEastAsia"/>
                <w:sz w:val="24"/>
                <w:szCs w:val="24"/>
                <w:lang w:val="zh-TW" w:bidi="en-US"/>
              </w:rPr>
              <w:t>。</w:t>
            </w:r>
          </w:p>
        </w:tc>
      </w:tr>
      <w:tr w14:paraId="3DCBB1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0" w:type="dxa"/>
          </w:tcPr>
          <w:p w14:paraId="7E44EFFE">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服务</w:t>
            </w:r>
            <w:r>
              <w:rPr>
                <w:rFonts w:ascii="方正仿宋_GBK" w:hAnsi="宋体" w:eastAsia="方正仿宋_GBK" w:cstheme="minorEastAsia"/>
                <w:sz w:val="24"/>
                <w:szCs w:val="24"/>
              </w:rPr>
              <w:t>质量等</w:t>
            </w:r>
            <w:r>
              <w:rPr>
                <w:rFonts w:hint="eastAsia" w:ascii="方正仿宋_GBK" w:hAnsi="宋体" w:eastAsia="方正仿宋_GBK" w:cstheme="minorEastAsia"/>
                <w:sz w:val="24"/>
                <w:szCs w:val="24"/>
              </w:rPr>
              <w:t>要求：</w:t>
            </w:r>
          </w:p>
        </w:tc>
        <w:tc>
          <w:tcPr>
            <w:tcW w:w="7512" w:type="dxa"/>
          </w:tcPr>
          <w:p w14:paraId="0480F397">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1、</w:t>
            </w:r>
            <w:r>
              <w:rPr>
                <w:rFonts w:hint="eastAsia" w:ascii="方正仿宋_GBK" w:hAnsi="宋体" w:eastAsia="方正仿宋_GBK" w:cstheme="minorEastAsia"/>
                <w:sz w:val="24"/>
                <w:szCs w:val="24"/>
                <w:lang w:val="zh-TW"/>
              </w:rPr>
              <w:t>所有服务需满足国家《中华人民共和国大气污染防治法》、《四川省重污染天气金属表面处理及热处理加工等10个行业应急减排措施指定技术指南》</w:t>
            </w:r>
            <w:r>
              <w:rPr>
                <w:rFonts w:hint="eastAsia" w:ascii="方正仿宋_GBK" w:hAnsi="宋体" w:eastAsia="方正仿宋_GBK" w:cstheme="minorEastAsia"/>
                <w:sz w:val="24"/>
                <w:szCs w:val="24"/>
                <w:lang w:val="en-US" w:eastAsia="zh-CN"/>
              </w:rPr>
              <w:t>等</w:t>
            </w:r>
            <w:r>
              <w:rPr>
                <w:rFonts w:hint="eastAsia" w:ascii="方正仿宋_GBK" w:hAnsi="宋体" w:eastAsia="方正仿宋_GBK" w:cstheme="minorEastAsia"/>
                <w:sz w:val="24"/>
                <w:szCs w:val="24"/>
                <w:lang w:val="zh-TW"/>
              </w:rPr>
              <w:t>标准要求；</w:t>
            </w:r>
          </w:p>
          <w:p w14:paraId="4D23511F">
            <w:pPr>
              <w:spacing w:line="380" w:lineRule="exact"/>
              <w:rPr>
                <w:rFonts w:ascii="方正仿宋_GBK" w:hAnsi="宋体" w:eastAsia="方正仿宋_GBK" w:cstheme="minorEastAsia"/>
                <w:sz w:val="24"/>
                <w:szCs w:val="24"/>
                <w:lang w:val="zh-TW"/>
              </w:rPr>
            </w:pPr>
            <w:r>
              <w:rPr>
                <w:rFonts w:hint="eastAsia" w:ascii="方正仿宋_GBK" w:hAnsi="宋体" w:eastAsia="方正仿宋_GBK" w:cstheme="minorEastAsia"/>
                <w:sz w:val="24"/>
                <w:szCs w:val="24"/>
              </w:rPr>
              <w:t>2、</w:t>
            </w:r>
            <w:r>
              <w:rPr>
                <w:rFonts w:hint="eastAsia" w:ascii="方正仿宋_GBK" w:hAnsi="宋体" w:eastAsia="方正仿宋_GBK" w:cstheme="minorEastAsia"/>
                <w:sz w:val="24"/>
                <w:szCs w:val="24"/>
                <w:lang w:val="zh-TW"/>
              </w:rPr>
              <w:t>满足报价清单上的品牌、规格、型号、参数的要求。</w:t>
            </w:r>
          </w:p>
        </w:tc>
      </w:tr>
      <w:tr w14:paraId="5510CE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0" w:type="dxa"/>
          </w:tcPr>
          <w:p w14:paraId="5880681E">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响应文件组成及主要内容</w:t>
            </w:r>
          </w:p>
        </w:tc>
        <w:tc>
          <w:tcPr>
            <w:tcW w:w="7512" w:type="dxa"/>
          </w:tcPr>
          <w:p w14:paraId="60662674">
            <w:pPr>
              <w:numPr>
                <w:ilvl w:val="0"/>
                <w:numId w:val="2"/>
              </w:num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资质文件</w:t>
            </w:r>
          </w:p>
          <w:p w14:paraId="368AF1EB">
            <w:pPr>
              <w:numPr>
                <w:ilvl w:val="0"/>
                <w:numId w:val="3"/>
              </w:num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有效的营业执照、税务登记证、组织机构代码(三证合一的只需提供营业执照副本)，制造厂（商）授权代理资格文件（复印件加盖报价单位公章）；</w:t>
            </w:r>
          </w:p>
          <w:p w14:paraId="5D9FDD9B">
            <w:pPr>
              <w:numPr>
                <w:ilvl w:val="0"/>
                <w:numId w:val="3"/>
              </w:num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法定代表人身份证复印件或授权委托书原件、代理人身份证复印件（加盖报价单位公章）；</w:t>
            </w:r>
          </w:p>
          <w:p w14:paraId="5688BC1E">
            <w:pPr>
              <w:numPr>
                <w:ilvl w:val="0"/>
                <w:numId w:val="3"/>
              </w:num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类似业绩证明材料（提供合同或中标通知书复印件，加盖报价单位公章）。</w:t>
            </w:r>
          </w:p>
          <w:p w14:paraId="3820D0B8">
            <w:pPr>
              <w:pStyle w:val="15"/>
              <w:numPr>
                <w:ilvl w:val="0"/>
                <w:numId w:val="2"/>
              </w:numPr>
              <w:spacing w:line="380" w:lineRule="exact"/>
              <w:ind w:firstLineChars="0"/>
              <w:rPr>
                <w:rFonts w:ascii="方正仿宋_GBK" w:hAnsi="宋体" w:eastAsia="方正仿宋_GBK" w:cstheme="minorEastAsia"/>
                <w:sz w:val="24"/>
                <w:szCs w:val="24"/>
              </w:rPr>
            </w:pPr>
            <w:r>
              <w:rPr>
                <w:rFonts w:hint="eastAsia" w:ascii="方正仿宋_GBK" w:hAnsi="宋体" w:eastAsia="方正仿宋_GBK" w:cstheme="minorEastAsia"/>
                <w:sz w:val="24"/>
                <w:szCs w:val="24"/>
              </w:rPr>
              <w:t>报价表（见附件）。</w:t>
            </w:r>
          </w:p>
          <w:p w14:paraId="35EC0B77">
            <w:pPr>
              <w:pStyle w:val="12"/>
              <w:numPr>
                <w:numId w:val="0"/>
              </w:numPr>
              <w:spacing w:line="380" w:lineRule="exact"/>
              <w:ind w:leftChars="0"/>
              <w:rPr>
                <w:rFonts w:ascii="方正仿宋_GBK" w:hAnsi="宋体" w:eastAsia="方正仿宋_GBK" w:cs="Times New Roman"/>
                <w:color w:val="FF0000"/>
                <w:sz w:val="24"/>
                <w:szCs w:val="24"/>
              </w:rPr>
            </w:pPr>
            <w:r>
              <w:rPr>
                <w:rFonts w:hint="eastAsia" w:ascii="方正仿宋_GBK" w:hAnsi="宋体" w:eastAsia="方正仿宋_GBK" w:cstheme="minorEastAsia"/>
                <w:sz w:val="24"/>
                <w:szCs w:val="24"/>
                <w:lang w:val="en-US" w:eastAsia="zh-CN"/>
              </w:rPr>
              <w:t>3、</w:t>
            </w:r>
            <w:r>
              <w:rPr>
                <w:rFonts w:hint="eastAsia" w:ascii="方正仿宋_GBK" w:hAnsi="宋体" w:eastAsia="方正仿宋_GBK" w:cstheme="minorEastAsia"/>
                <w:sz w:val="24"/>
                <w:szCs w:val="24"/>
              </w:rPr>
              <w:t>报价人承诺：包含但不限于以下内容：对询价文件要求的相关内容、技术和标准、售后服务承诺等。</w:t>
            </w:r>
          </w:p>
        </w:tc>
      </w:tr>
      <w:tr w14:paraId="1010CF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0" w:type="dxa"/>
          </w:tcPr>
          <w:p w14:paraId="3DF02E38">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响应文件要求</w:t>
            </w:r>
          </w:p>
        </w:tc>
        <w:tc>
          <w:tcPr>
            <w:tcW w:w="7512" w:type="dxa"/>
          </w:tcPr>
          <w:p w14:paraId="0793F7CE">
            <w:pPr>
              <w:numPr>
                <w:ilvl w:val="0"/>
                <w:numId w:val="4"/>
              </w:num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份数：一份，所有资料需密封装订成册，以送达的方式递交采购人处。</w:t>
            </w:r>
          </w:p>
          <w:p w14:paraId="3C101D8E">
            <w:pPr>
              <w:numPr>
                <w:ilvl w:val="0"/>
                <w:numId w:val="4"/>
              </w:num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签署要求：需加盖公章，并由法定代表人或其授权代理人签字或盖章。</w:t>
            </w:r>
          </w:p>
        </w:tc>
      </w:tr>
      <w:tr w14:paraId="43F1E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0" w:type="dxa"/>
          </w:tcPr>
          <w:p w14:paraId="4104CDEF">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响应文件的递交</w:t>
            </w:r>
          </w:p>
        </w:tc>
        <w:tc>
          <w:tcPr>
            <w:tcW w:w="7512" w:type="dxa"/>
          </w:tcPr>
          <w:p w14:paraId="2DE6DF85">
            <w:pPr>
              <w:numPr>
                <w:ilvl w:val="0"/>
                <w:numId w:val="5"/>
              </w:num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响应文件递交的截止时间为</w:t>
            </w:r>
            <w:r>
              <w:rPr>
                <w:rFonts w:hint="eastAsia" w:ascii="方正仿宋_GBK" w:hAnsi="宋体" w:eastAsia="方正仿宋_GBK" w:cstheme="minorEastAsia"/>
                <w:color w:val="auto"/>
                <w:sz w:val="24"/>
                <w:szCs w:val="24"/>
              </w:rPr>
              <w:t>20</w:t>
            </w:r>
            <w:r>
              <w:rPr>
                <w:rFonts w:ascii="方正仿宋_GBK" w:hAnsi="宋体" w:eastAsia="方正仿宋_GBK" w:cstheme="minorEastAsia"/>
                <w:color w:val="auto"/>
                <w:sz w:val="24"/>
                <w:szCs w:val="24"/>
              </w:rPr>
              <w:t>2</w:t>
            </w:r>
            <w:r>
              <w:rPr>
                <w:rFonts w:hint="eastAsia" w:ascii="方正仿宋_GBK" w:hAnsi="宋体" w:eastAsia="方正仿宋_GBK" w:cstheme="minorEastAsia"/>
                <w:color w:val="auto"/>
                <w:sz w:val="24"/>
                <w:szCs w:val="24"/>
                <w:lang w:val="en-US" w:eastAsia="zh-CN"/>
              </w:rPr>
              <w:t>4</w:t>
            </w:r>
            <w:r>
              <w:rPr>
                <w:rFonts w:hint="eastAsia" w:ascii="方正仿宋_GBK" w:hAnsi="宋体" w:eastAsia="方正仿宋_GBK" w:cstheme="minorEastAsia"/>
                <w:color w:val="auto"/>
                <w:sz w:val="24"/>
                <w:szCs w:val="24"/>
              </w:rPr>
              <w:t>年</w:t>
            </w:r>
            <w:r>
              <w:rPr>
                <w:rFonts w:hint="eastAsia" w:ascii="方正仿宋_GBK" w:hAnsi="宋体" w:eastAsia="方正仿宋_GBK" w:cstheme="minorEastAsia"/>
                <w:color w:val="auto"/>
                <w:sz w:val="24"/>
                <w:szCs w:val="24"/>
                <w:lang w:val="en-US" w:eastAsia="zh-CN"/>
              </w:rPr>
              <w:t>8</w:t>
            </w:r>
            <w:r>
              <w:rPr>
                <w:rFonts w:hint="eastAsia" w:ascii="方正仿宋_GBK" w:hAnsi="宋体" w:eastAsia="方正仿宋_GBK" w:cstheme="minorEastAsia"/>
                <w:color w:val="auto"/>
                <w:sz w:val="24"/>
                <w:szCs w:val="24"/>
              </w:rPr>
              <w:t>月</w:t>
            </w:r>
            <w:r>
              <w:rPr>
                <w:rFonts w:ascii="方正仿宋_GBK" w:hAnsi="宋体" w:eastAsia="方正仿宋_GBK" w:cstheme="minorEastAsia"/>
                <w:color w:val="auto"/>
                <w:sz w:val="24"/>
                <w:szCs w:val="24"/>
                <w:u w:val="single"/>
              </w:rPr>
              <w:t>1</w:t>
            </w:r>
            <w:r>
              <w:rPr>
                <w:rFonts w:hint="eastAsia" w:ascii="方正仿宋_GBK" w:hAnsi="宋体" w:eastAsia="方正仿宋_GBK" w:cstheme="minorEastAsia"/>
                <w:color w:val="auto"/>
                <w:sz w:val="24"/>
                <w:szCs w:val="24"/>
                <w:u w:val="single"/>
                <w:lang w:val="en-US" w:eastAsia="zh-CN"/>
              </w:rPr>
              <w:t>2</w:t>
            </w:r>
            <w:r>
              <w:rPr>
                <w:rFonts w:hint="eastAsia" w:ascii="方正仿宋_GBK" w:hAnsi="宋体" w:eastAsia="方正仿宋_GBK" w:cstheme="minorEastAsia"/>
                <w:color w:val="auto"/>
                <w:sz w:val="24"/>
                <w:szCs w:val="24"/>
              </w:rPr>
              <w:t>日上午</w:t>
            </w:r>
            <w:r>
              <w:rPr>
                <w:rFonts w:hint="eastAsia" w:ascii="方正仿宋_GBK" w:hAnsi="宋体" w:eastAsia="方正仿宋_GBK" w:cstheme="minorEastAsia"/>
                <w:color w:val="auto"/>
                <w:sz w:val="24"/>
                <w:szCs w:val="24"/>
                <w:u w:val="single"/>
              </w:rPr>
              <w:t>12:00</w:t>
            </w:r>
            <w:r>
              <w:rPr>
                <w:rFonts w:hint="eastAsia" w:ascii="方正仿宋_GBK" w:hAnsi="宋体" w:eastAsia="方正仿宋_GBK" w:cstheme="minorEastAsia"/>
                <w:color w:val="auto"/>
                <w:sz w:val="24"/>
                <w:szCs w:val="24"/>
              </w:rPr>
              <w:t>前。</w:t>
            </w:r>
          </w:p>
          <w:p w14:paraId="2EBE0B27">
            <w:pPr>
              <w:numPr>
                <w:ilvl w:val="0"/>
                <w:numId w:val="5"/>
              </w:num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递交地点：成都市郫都区同善桥路5</w:t>
            </w:r>
            <w:r>
              <w:rPr>
                <w:rFonts w:ascii="方正仿宋_GBK" w:hAnsi="宋体" w:eastAsia="方正仿宋_GBK" w:cstheme="minorEastAsia"/>
                <w:sz w:val="24"/>
                <w:szCs w:val="24"/>
              </w:rPr>
              <w:t>69</w:t>
            </w:r>
            <w:r>
              <w:rPr>
                <w:rFonts w:hint="eastAsia" w:ascii="方正仿宋_GBK" w:hAnsi="宋体" w:eastAsia="方正仿宋_GBK" w:cstheme="minorEastAsia"/>
                <w:sz w:val="24"/>
                <w:szCs w:val="24"/>
              </w:rPr>
              <w:t>号</w:t>
            </w:r>
            <w:r>
              <w:rPr>
                <w:rFonts w:hint="eastAsia" w:ascii="方正仿宋_GBK" w:hAnsi="宋体" w:eastAsia="方正仿宋_GBK" w:cstheme="minorEastAsia"/>
                <w:color w:val="auto"/>
                <w:sz w:val="24"/>
                <w:szCs w:val="24"/>
                <w:u w:val="single"/>
                <w:lang w:val="en-US" w:eastAsia="zh-CN"/>
              </w:rPr>
              <w:t>安全环保质量</w:t>
            </w:r>
            <w:r>
              <w:rPr>
                <w:rFonts w:hint="eastAsia" w:ascii="方正仿宋_GBK" w:hAnsi="宋体" w:eastAsia="方正仿宋_GBK" w:cstheme="minorEastAsia"/>
                <w:color w:val="auto"/>
                <w:sz w:val="24"/>
                <w:szCs w:val="24"/>
              </w:rPr>
              <w:t>部</w:t>
            </w:r>
            <w:r>
              <w:rPr>
                <w:rFonts w:hint="eastAsia" w:ascii="方正仿宋_GBK" w:hAnsi="宋体" w:eastAsia="方正仿宋_GBK" w:cstheme="minorEastAsia"/>
                <w:color w:val="auto"/>
                <w:sz w:val="24"/>
                <w:szCs w:val="24"/>
                <w:lang w:val="en-US" w:eastAsia="zh-CN"/>
              </w:rPr>
              <w:t>910</w:t>
            </w:r>
            <w:r>
              <w:rPr>
                <w:rFonts w:hint="eastAsia" w:ascii="方正仿宋_GBK" w:hAnsi="宋体" w:eastAsia="方正仿宋_GBK" w:cstheme="minorEastAsia"/>
                <w:sz w:val="24"/>
                <w:szCs w:val="24"/>
              </w:rPr>
              <w:t>办公室</w:t>
            </w:r>
          </w:p>
        </w:tc>
      </w:tr>
      <w:tr w14:paraId="347406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0" w:type="dxa"/>
          </w:tcPr>
          <w:p w14:paraId="6621FD23">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评审标准</w:t>
            </w:r>
          </w:p>
        </w:tc>
        <w:tc>
          <w:tcPr>
            <w:tcW w:w="7512" w:type="dxa"/>
          </w:tcPr>
          <w:p w14:paraId="7CBCD0E3">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评审期间，报价文件中含义不明确、不一致或有明显文字和计算错误的内容，报价人可根据询价小组的要求进行补正、说明，询价</w:t>
            </w:r>
            <w:r>
              <w:rPr>
                <w:rFonts w:ascii="方正仿宋_GBK" w:hAnsi="宋体" w:eastAsia="方正仿宋_GBK" w:cstheme="minorEastAsia"/>
                <w:sz w:val="24"/>
                <w:szCs w:val="24"/>
              </w:rPr>
              <w:t>小组</w:t>
            </w:r>
            <w:r>
              <w:rPr>
                <w:rFonts w:hint="eastAsia" w:ascii="方正仿宋_GBK" w:hAnsi="宋体" w:eastAsia="方正仿宋_GBK" w:cstheme="minorEastAsia"/>
                <w:sz w:val="24"/>
                <w:szCs w:val="24"/>
              </w:rPr>
              <w:t>也有权</w:t>
            </w:r>
            <w:r>
              <w:rPr>
                <w:rFonts w:ascii="方正仿宋_GBK" w:hAnsi="宋体" w:eastAsia="方正仿宋_GBK" w:cstheme="minorEastAsia"/>
                <w:sz w:val="24"/>
                <w:szCs w:val="24"/>
              </w:rPr>
              <w:t>根据情况要求报价人</w:t>
            </w:r>
            <w:r>
              <w:rPr>
                <w:rFonts w:hint="eastAsia" w:ascii="方正仿宋_GBK" w:hAnsi="宋体" w:eastAsia="方正仿宋_GBK" w:cstheme="minorEastAsia"/>
                <w:sz w:val="24"/>
                <w:szCs w:val="24"/>
              </w:rPr>
              <w:t>对</w:t>
            </w:r>
            <w:r>
              <w:rPr>
                <w:rFonts w:ascii="方正仿宋_GBK" w:hAnsi="宋体" w:eastAsia="方正仿宋_GBK" w:cstheme="minorEastAsia"/>
                <w:sz w:val="24"/>
                <w:szCs w:val="24"/>
              </w:rPr>
              <w:t>相关</w:t>
            </w:r>
            <w:r>
              <w:rPr>
                <w:rFonts w:hint="eastAsia" w:ascii="方正仿宋_GBK" w:hAnsi="宋体" w:eastAsia="方正仿宋_GBK" w:cstheme="minorEastAsia"/>
                <w:sz w:val="24"/>
                <w:szCs w:val="24"/>
              </w:rPr>
              <w:t>资料进行</w:t>
            </w:r>
            <w:r>
              <w:rPr>
                <w:rFonts w:ascii="方正仿宋_GBK" w:hAnsi="宋体" w:eastAsia="方正仿宋_GBK" w:cstheme="minorEastAsia"/>
                <w:sz w:val="24"/>
                <w:szCs w:val="24"/>
              </w:rPr>
              <w:t>补充</w:t>
            </w:r>
            <w:r>
              <w:rPr>
                <w:rFonts w:hint="eastAsia" w:ascii="方正仿宋_GBK" w:hAnsi="宋体" w:eastAsia="方正仿宋_GBK" w:cstheme="minorEastAsia"/>
                <w:sz w:val="24"/>
                <w:szCs w:val="24"/>
              </w:rPr>
              <w:t>（除</w:t>
            </w:r>
            <w:r>
              <w:rPr>
                <w:rFonts w:ascii="方正仿宋_GBK" w:hAnsi="宋体" w:eastAsia="方正仿宋_GBK" w:cstheme="minorEastAsia"/>
                <w:sz w:val="24"/>
                <w:szCs w:val="24"/>
              </w:rPr>
              <w:t>报价外</w:t>
            </w:r>
            <w:r>
              <w:rPr>
                <w:rFonts w:hint="eastAsia" w:ascii="方正仿宋_GBK" w:hAnsi="宋体" w:eastAsia="方正仿宋_GBK" w:cstheme="minorEastAsia"/>
                <w:sz w:val="24"/>
                <w:szCs w:val="24"/>
              </w:rPr>
              <w:t>）</w:t>
            </w:r>
            <w:r>
              <w:rPr>
                <w:rFonts w:ascii="方正仿宋_GBK" w:hAnsi="宋体" w:eastAsia="方正仿宋_GBK" w:cstheme="minorEastAsia"/>
                <w:sz w:val="24"/>
                <w:szCs w:val="24"/>
              </w:rPr>
              <w:t>。</w:t>
            </w:r>
          </w:p>
          <w:p w14:paraId="45A3CD53">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经</w:t>
            </w:r>
            <w:r>
              <w:rPr>
                <w:rFonts w:ascii="方正仿宋_GBK" w:hAnsi="宋体" w:eastAsia="方正仿宋_GBK" w:cstheme="minorEastAsia"/>
                <w:sz w:val="24"/>
                <w:szCs w:val="24"/>
              </w:rPr>
              <w:t>评审，</w:t>
            </w:r>
            <w:r>
              <w:rPr>
                <w:rFonts w:hint="eastAsia" w:ascii="方正仿宋_GBK" w:hAnsi="宋体" w:eastAsia="方正仿宋_GBK" w:cstheme="minorEastAsia"/>
                <w:sz w:val="24"/>
                <w:szCs w:val="24"/>
              </w:rPr>
              <w:t>在报价人资格条件、质量和服务均能满足询价文件实质性要求的</w:t>
            </w:r>
            <w:r>
              <w:rPr>
                <w:rFonts w:ascii="方正仿宋_GBK" w:hAnsi="宋体" w:eastAsia="方正仿宋_GBK" w:cstheme="minorEastAsia"/>
                <w:sz w:val="24"/>
                <w:szCs w:val="24"/>
              </w:rPr>
              <w:t>前提下，</w:t>
            </w:r>
            <w:r>
              <w:rPr>
                <w:rFonts w:hint="eastAsia" w:ascii="方正仿宋_GBK" w:hAnsi="宋体" w:eastAsia="方正仿宋_GBK" w:cstheme="minorEastAsia"/>
                <w:sz w:val="24"/>
                <w:szCs w:val="24"/>
              </w:rPr>
              <w:t>确定最低报价的报价</w:t>
            </w:r>
            <w:r>
              <w:rPr>
                <w:rFonts w:ascii="方正仿宋_GBK" w:hAnsi="宋体" w:eastAsia="方正仿宋_GBK" w:cstheme="minorEastAsia"/>
                <w:sz w:val="24"/>
                <w:szCs w:val="24"/>
              </w:rPr>
              <w:t>人</w:t>
            </w:r>
            <w:r>
              <w:rPr>
                <w:rFonts w:hint="eastAsia" w:ascii="方正仿宋_GBK" w:hAnsi="宋体" w:eastAsia="方正仿宋_GBK" w:cstheme="minorEastAsia"/>
                <w:sz w:val="24"/>
                <w:szCs w:val="24"/>
              </w:rPr>
              <w:t>为成交人；在此基础上报价若相同的，确定</w:t>
            </w:r>
            <w:r>
              <w:rPr>
                <w:rFonts w:hint="eastAsia" w:ascii="方正仿宋_GBK" w:hAnsi="宋体" w:eastAsia="方正仿宋_GBK" w:cstheme="minorEastAsia"/>
                <w:color w:val="auto"/>
                <w:sz w:val="24"/>
                <w:szCs w:val="24"/>
                <w:u w:val="single"/>
              </w:rPr>
              <w:t>业绩金额</w:t>
            </w:r>
            <w:r>
              <w:rPr>
                <w:rFonts w:hint="eastAsia" w:ascii="方正仿宋_GBK" w:hAnsi="宋体" w:eastAsia="方正仿宋_GBK" w:cstheme="minorEastAsia"/>
                <w:sz w:val="24"/>
                <w:szCs w:val="24"/>
              </w:rPr>
              <w:t>最优的报价</w:t>
            </w:r>
            <w:r>
              <w:rPr>
                <w:rFonts w:ascii="方正仿宋_GBK" w:hAnsi="宋体" w:eastAsia="方正仿宋_GBK" w:cstheme="minorEastAsia"/>
                <w:sz w:val="24"/>
                <w:szCs w:val="24"/>
              </w:rPr>
              <w:t>人</w:t>
            </w:r>
            <w:r>
              <w:rPr>
                <w:rFonts w:hint="eastAsia" w:ascii="方正仿宋_GBK" w:hAnsi="宋体" w:eastAsia="方正仿宋_GBK" w:cstheme="minorEastAsia"/>
                <w:sz w:val="24"/>
                <w:szCs w:val="24"/>
              </w:rPr>
              <w:t>为成交人。</w:t>
            </w:r>
          </w:p>
        </w:tc>
      </w:tr>
      <w:tr w14:paraId="4A89B9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0" w:type="dxa"/>
          </w:tcPr>
          <w:p w14:paraId="1AD5C5B4">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采购限价</w:t>
            </w:r>
          </w:p>
        </w:tc>
        <w:tc>
          <w:tcPr>
            <w:tcW w:w="7512" w:type="dxa"/>
          </w:tcPr>
          <w:p w14:paraId="58F657A2">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本次采购限价</w:t>
            </w:r>
            <w:r>
              <w:rPr>
                <w:rFonts w:hint="eastAsia" w:ascii="方正仿宋_GBK" w:hAnsi="宋体" w:eastAsia="方正仿宋_GBK" w:cstheme="minorEastAsia"/>
                <w:color w:val="auto"/>
                <w:sz w:val="24"/>
                <w:szCs w:val="24"/>
                <w:u w:val="single"/>
                <w:lang w:val="en-US" w:eastAsia="zh-CN"/>
              </w:rPr>
              <w:t>25</w:t>
            </w:r>
            <w:r>
              <w:rPr>
                <w:rFonts w:hint="eastAsia" w:ascii="方正仿宋_GBK" w:hAnsi="宋体" w:eastAsia="方正仿宋_GBK" w:cstheme="minorEastAsia"/>
                <w:sz w:val="24"/>
                <w:szCs w:val="24"/>
              </w:rPr>
              <w:t>万元（含税价）。</w:t>
            </w:r>
            <w:r>
              <w:rPr>
                <w:rFonts w:hint="eastAsia" w:ascii="方正仿宋_GBK" w:hAnsi="宋体" w:eastAsia="方正仿宋_GBK" w:cstheme="minorEastAsia"/>
                <w:bCs/>
                <w:sz w:val="24"/>
                <w:szCs w:val="24"/>
              </w:rPr>
              <w:t>报价人的报价不得超过限价，</w:t>
            </w:r>
            <w:r>
              <w:rPr>
                <w:rFonts w:hint="eastAsia" w:ascii="方正仿宋_GBK" w:hAnsi="宋体" w:eastAsia="方正仿宋_GBK" w:cstheme="minorEastAsia"/>
                <w:sz w:val="24"/>
                <w:szCs w:val="24"/>
              </w:rPr>
              <w:t>否则其报价将作否决处理。</w:t>
            </w:r>
          </w:p>
        </w:tc>
      </w:tr>
      <w:tr w14:paraId="202C66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0" w:type="dxa"/>
          </w:tcPr>
          <w:p w14:paraId="4C83BCEB">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支付方式</w:t>
            </w:r>
          </w:p>
        </w:tc>
        <w:tc>
          <w:tcPr>
            <w:tcW w:w="7512" w:type="dxa"/>
          </w:tcPr>
          <w:p w14:paraId="2781C56A">
            <w:pPr>
              <w:spacing w:line="380" w:lineRule="exact"/>
              <w:rPr>
                <w:rFonts w:ascii="方正仿宋_GBK" w:hAnsi="宋体" w:eastAsia="方正仿宋_GBK" w:cstheme="minorEastAsia"/>
                <w:color w:val="auto"/>
                <w:sz w:val="24"/>
                <w:szCs w:val="24"/>
              </w:rPr>
            </w:pPr>
            <w:r>
              <w:rPr>
                <w:rFonts w:hint="eastAsia" w:ascii="方正仿宋_GBK" w:hAnsi="宋体" w:eastAsia="方正仿宋_GBK" w:cstheme="minorEastAsia"/>
                <w:color w:val="auto"/>
                <w:sz w:val="24"/>
                <w:szCs w:val="24"/>
              </w:rPr>
              <w:t>本合同预付款</w:t>
            </w:r>
            <w:r>
              <w:rPr>
                <w:rFonts w:hint="eastAsia" w:ascii="方正仿宋_GBK" w:hAnsi="宋体" w:eastAsia="方正仿宋_GBK" w:cstheme="minorEastAsia"/>
                <w:color w:val="auto"/>
                <w:sz w:val="24"/>
                <w:szCs w:val="24"/>
                <w:lang w:val="en-US" w:eastAsia="zh-CN"/>
              </w:rPr>
              <w:t>50%</w:t>
            </w:r>
            <w:r>
              <w:rPr>
                <w:rFonts w:hint="eastAsia" w:ascii="方正仿宋_GBK" w:hAnsi="宋体" w:eastAsia="方正仿宋_GBK" w:cstheme="minorEastAsia"/>
                <w:color w:val="auto"/>
                <w:sz w:val="24"/>
                <w:szCs w:val="24"/>
              </w:rPr>
              <w:t>。</w:t>
            </w:r>
            <w:bookmarkStart w:id="0" w:name="OLE_LINK38"/>
          </w:p>
          <w:bookmarkEnd w:id="0"/>
          <w:p w14:paraId="411866AE">
            <w:pPr>
              <w:spacing w:line="380" w:lineRule="exact"/>
              <w:rPr>
                <w:rFonts w:ascii="方正仿宋_GBK" w:hAnsi="宋体" w:eastAsia="方正仿宋_GBK" w:cstheme="minorEastAsia"/>
                <w:color w:val="auto"/>
                <w:sz w:val="24"/>
                <w:szCs w:val="24"/>
                <w:lang w:bidi="en-US"/>
              </w:rPr>
            </w:pPr>
            <w:r>
              <w:rPr>
                <w:rFonts w:hint="eastAsia" w:ascii="方正仿宋_GBK" w:hAnsi="宋体" w:eastAsia="方正仿宋_GBK" w:cstheme="minorEastAsia"/>
                <w:color w:val="auto"/>
                <w:sz w:val="24"/>
                <w:szCs w:val="24"/>
                <w:lang w:bidi="en-US"/>
              </w:rPr>
              <w:t>所有合同货物安装调试完毕并验收合格</w:t>
            </w:r>
            <w:r>
              <w:rPr>
                <w:rFonts w:hint="eastAsia" w:ascii="方正仿宋_GBK" w:hAnsi="宋体" w:eastAsia="方正仿宋_GBK" w:cstheme="minorEastAsia"/>
                <w:color w:val="auto"/>
                <w:sz w:val="24"/>
                <w:szCs w:val="24"/>
                <w:lang w:val="en-US" w:eastAsia="zh-CN" w:bidi="en-US"/>
              </w:rPr>
              <w:t>且绩效等级提升评审通过后，</w:t>
            </w:r>
            <w:r>
              <w:rPr>
                <w:rFonts w:hint="eastAsia" w:ascii="方正仿宋_GBK" w:hAnsi="宋体" w:eastAsia="方正仿宋_GBK" w:cstheme="minorEastAsia"/>
                <w:color w:val="auto"/>
                <w:sz w:val="24"/>
                <w:szCs w:val="24"/>
                <w:lang w:bidi="en-US"/>
              </w:rPr>
              <w:t>甲方根据乙方提交的合格支付材料（支付申请单、双方签字确认的验收单及全额增值税专用发票等）15个工作日内支付至合同总价的</w:t>
            </w:r>
            <w:r>
              <w:rPr>
                <w:rFonts w:hint="eastAsia" w:ascii="方正仿宋_GBK" w:hAnsi="宋体" w:eastAsia="方正仿宋_GBK" w:cstheme="minorEastAsia"/>
                <w:color w:val="auto"/>
                <w:sz w:val="24"/>
                <w:szCs w:val="24"/>
                <w:lang w:val="en-US" w:eastAsia="zh-CN" w:bidi="en-US"/>
              </w:rPr>
              <w:t>100</w:t>
            </w:r>
            <w:r>
              <w:rPr>
                <w:rFonts w:hint="eastAsia" w:ascii="方正仿宋_GBK" w:hAnsi="宋体" w:eastAsia="方正仿宋_GBK" w:cstheme="minorEastAsia"/>
                <w:color w:val="auto"/>
                <w:sz w:val="24"/>
                <w:szCs w:val="24"/>
                <w:lang w:bidi="en-US"/>
              </w:rPr>
              <w:t>%</w:t>
            </w:r>
            <w:r>
              <w:rPr>
                <w:rFonts w:hint="eastAsia" w:ascii="方正仿宋_GBK" w:hAnsi="宋体" w:eastAsia="方正仿宋_GBK" w:cstheme="minorEastAsia"/>
                <w:color w:val="auto"/>
                <w:sz w:val="24"/>
                <w:szCs w:val="24"/>
                <w:lang w:eastAsia="zh-CN" w:bidi="en-US"/>
              </w:rPr>
              <w:t>。</w:t>
            </w:r>
          </w:p>
          <w:p w14:paraId="2026A442">
            <w:pPr>
              <w:spacing w:line="380" w:lineRule="exact"/>
              <w:rPr>
                <w:rFonts w:ascii="方正仿宋_GBK" w:hAnsi="宋体" w:eastAsia="方正仿宋_GBK" w:cstheme="minorEastAsia"/>
                <w:b/>
                <w:sz w:val="24"/>
                <w:szCs w:val="24"/>
                <w:lang w:bidi="en-US"/>
              </w:rPr>
            </w:pPr>
            <w:r>
              <w:rPr>
                <w:rFonts w:hint="eastAsia" w:ascii="方正仿宋_GBK" w:hAnsi="宋体" w:eastAsia="方正仿宋_GBK" w:cstheme="minorEastAsia"/>
                <w:b/>
                <w:color w:val="auto"/>
                <w:sz w:val="24"/>
                <w:szCs w:val="24"/>
                <w:lang w:bidi="en-US"/>
              </w:rPr>
              <w:t>注：支付方式按照公司财务管理相关规定执行，</w:t>
            </w:r>
            <w:r>
              <w:rPr>
                <w:rFonts w:ascii="方正仿宋_GBK" w:hAnsi="宋体" w:eastAsia="方正仿宋_GBK" w:cstheme="minorEastAsia"/>
                <w:b/>
                <w:color w:val="auto"/>
                <w:sz w:val="24"/>
                <w:szCs w:val="24"/>
                <w:lang w:bidi="en-US"/>
              </w:rPr>
              <w:t>结合合同类型</w:t>
            </w:r>
            <w:r>
              <w:rPr>
                <w:rFonts w:hint="eastAsia" w:ascii="方正仿宋_GBK" w:hAnsi="宋体" w:eastAsia="方正仿宋_GBK" w:cstheme="minorEastAsia"/>
                <w:b/>
                <w:color w:val="auto"/>
                <w:sz w:val="24"/>
                <w:szCs w:val="24"/>
                <w:lang w:bidi="en-US"/>
              </w:rPr>
              <w:t>进行设定。</w:t>
            </w:r>
          </w:p>
        </w:tc>
      </w:tr>
      <w:tr w14:paraId="14094A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6" w:hRule="atLeast"/>
        </w:trPr>
        <w:tc>
          <w:tcPr>
            <w:tcW w:w="1560" w:type="dxa"/>
          </w:tcPr>
          <w:p w14:paraId="40CD3C4A">
            <w:pPr>
              <w:spacing w:line="380" w:lineRule="exact"/>
              <w:rPr>
                <w:rFonts w:ascii="方正仿宋_GBK" w:hAnsi="宋体" w:eastAsia="方正仿宋_GBK" w:cstheme="minorEastAsia"/>
                <w:sz w:val="24"/>
                <w:szCs w:val="24"/>
              </w:rPr>
            </w:pPr>
            <w:r>
              <w:rPr>
                <w:rFonts w:hint="eastAsia" w:ascii="方正仿宋_GBK" w:hAnsi="宋体" w:eastAsia="方正仿宋_GBK" w:cstheme="minorEastAsia"/>
                <w:sz w:val="24"/>
                <w:szCs w:val="24"/>
              </w:rPr>
              <w:t>联系方式</w:t>
            </w:r>
          </w:p>
        </w:tc>
        <w:tc>
          <w:tcPr>
            <w:tcW w:w="7512" w:type="dxa"/>
          </w:tcPr>
          <w:p w14:paraId="10961A56">
            <w:pPr>
              <w:spacing w:line="380" w:lineRule="exact"/>
              <w:rPr>
                <w:rFonts w:ascii="方正仿宋_GBK" w:hAnsi="宋体" w:eastAsia="方正仿宋_GBK" w:cstheme="minorEastAsia"/>
                <w:color w:val="auto"/>
                <w:sz w:val="24"/>
                <w:szCs w:val="24"/>
              </w:rPr>
            </w:pPr>
            <w:r>
              <w:rPr>
                <w:rFonts w:hint="eastAsia" w:ascii="方正仿宋_GBK" w:hAnsi="宋体" w:eastAsia="方正仿宋_GBK" w:cstheme="minorEastAsia"/>
                <w:color w:val="auto"/>
                <w:sz w:val="24"/>
                <w:szCs w:val="24"/>
              </w:rPr>
              <w:t>地  址：成都市郫都区同善桥路5</w:t>
            </w:r>
            <w:r>
              <w:rPr>
                <w:rFonts w:ascii="方正仿宋_GBK" w:hAnsi="宋体" w:eastAsia="方正仿宋_GBK" w:cstheme="minorEastAsia"/>
                <w:color w:val="auto"/>
                <w:sz w:val="24"/>
                <w:szCs w:val="24"/>
              </w:rPr>
              <w:t>69</w:t>
            </w:r>
            <w:r>
              <w:rPr>
                <w:rFonts w:hint="eastAsia" w:ascii="方正仿宋_GBK" w:hAnsi="宋体" w:eastAsia="方正仿宋_GBK" w:cstheme="minorEastAsia"/>
                <w:color w:val="auto"/>
                <w:sz w:val="24"/>
                <w:szCs w:val="24"/>
              </w:rPr>
              <w:t>号</w:t>
            </w:r>
            <w:r>
              <w:rPr>
                <w:rFonts w:hint="eastAsia" w:ascii="方正仿宋_GBK" w:hAnsi="宋体" w:eastAsia="方正仿宋_GBK" w:cstheme="minorEastAsia"/>
                <w:color w:val="auto"/>
                <w:sz w:val="24"/>
                <w:szCs w:val="24"/>
                <w:u w:val="single"/>
                <w:lang w:val="en-US" w:eastAsia="zh-CN"/>
              </w:rPr>
              <w:t>安全环保质量</w:t>
            </w:r>
            <w:r>
              <w:rPr>
                <w:rFonts w:hint="eastAsia" w:ascii="方正仿宋_GBK" w:hAnsi="宋体" w:eastAsia="方正仿宋_GBK" w:cstheme="minorEastAsia"/>
                <w:color w:val="auto"/>
                <w:sz w:val="24"/>
                <w:szCs w:val="24"/>
              </w:rPr>
              <w:t>部</w:t>
            </w:r>
            <w:r>
              <w:rPr>
                <w:rFonts w:hint="eastAsia" w:ascii="方正仿宋_GBK" w:hAnsi="宋体" w:eastAsia="方正仿宋_GBK" w:cstheme="minorEastAsia"/>
                <w:color w:val="auto"/>
                <w:sz w:val="24"/>
                <w:szCs w:val="24"/>
                <w:u w:val="single"/>
                <w:lang w:val="en-US" w:eastAsia="zh-CN"/>
              </w:rPr>
              <w:t>910</w:t>
            </w:r>
            <w:r>
              <w:rPr>
                <w:rFonts w:hint="eastAsia" w:ascii="方正仿宋_GBK" w:hAnsi="宋体" w:eastAsia="方正仿宋_GBK" w:cstheme="minorEastAsia"/>
                <w:color w:val="auto"/>
                <w:sz w:val="24"/>
                <w:szCs w:val="24"/>
              </w:rPr>
              <w:t>办公室</w:t>
            </w:r>
          </w:p>
          <w:p w14:paraId="5F647673">
            <w:pPr>
              <w:spacing w:line="380" w:lineRule="exact"/>
              <w:rPr>
                <w:rFonts w:hint="default" w:ascii="方正仿宋_GBK" w:hAnsi="宋体" w:eastAsia="方正仿宋_GBK" w:cstheme="minorEastAsia"/>
                <w:color w:val="auto"/>
                <w:sz w:val="24"/>
                <w:szCs w:val="24"/>
                <w:lang w:val="en-US" w:eastAsia="zh-CN"/>
              </w:rPr>
            </w:pPr>
            <w:r>
              <w:rPr>
                <w:rFonts w:hint="eastAsia" w:ascii="方正仿宋_GBK" w:hAnsi="宋体" w:eastAsia="方正仿宋_GBK" w:cstheme="minorEastAsia"/>
                <w:color w:val="auto"/>
                <w:sz w:val="24"/>
                <w:szCs w:val="24"/>
              </w:rPr>
              <w:t>联系人：</w:t>
            </w:r>
            <w:r>
              <w:rPr>
                <w:rFonts w:hint="eastAsia" w:ascii="方正仿宋_GBK" w:hAnsi="宋体" w:eastAsia="方正仿宋_GBK" w:cstheme="minorEastAsia"/>
                <w:color w:val="auto"/>
                <w:sz w:val="24"/>
                <w:szCs w:val="24"/>
                <w:u w:val="single"/>
                <w:lang w:val="en-US" w:eastAsia="zh-CN"/>
              </w:rPr>
              <w:t>汪加强</w:t>
            </w:r>
          </w:p>
          <w:p w14:paraId="2FE25407">
            <w:pPr>
              <w:spacing w:line="380" w:lineRule="exact"/>
              <w:rPr>
                <w:rFonts w:hint="default" w:ascii="方正仿宋_GBK" w:hAnsi="宋体" w:eastAsia="方正仿宋_GBK" w:cstheme="minorEastAsia"/>
                <w:sz w:val="24"/>
                <w:szCs w:val="24"/>
                <w:highlight w:val="yellow"/>
                <w:lang w:val="en-US" w:eastAsia="zh-CN"/>
              </w:rPr>
            </w:pPr>
            <w:r>
              <w:rPr>
                <w:rFonts w:hint="eastAsia" w:ascii="方正仿宋_GBK" w:hAnsi="宋体" w:eastAsia="方正仿宋_GBK" w:cstheme="minorEastAsia"/>
                <w:color w:val="auto"/>
                <w:sz w:val="24"/>
                <w:szCs w:val="24"/>
              </w:rPr>
              <w:t>联系电话：</w:t>
            </w:r>
            <w:r>
              <w:rPr>
                <w:rFonts w:hint="eastAsia" w:ascii="方正仿宋_GBK" w:hAnsi="宋体" w:eastAsia="方正仿宋_GBK" w:cstheme="minorEastAsia"/>
                <w:color w:val="auto"/>
                <w:sz w:val="24"/>
                <w:szCs w:val="24"/>
                <w:lang w:val="en-US" w:eastAsia="zh-CN"/>
              </w:rPr>
              <w:t>13608046248</w:t>
            </w:r>
          </w:p>
        </w:tc>
      </w:tr>
    </w:tbl>
    <w:p w14:paraId="3235022F">
      <w:pPr>
        <w:spacing w:before="240" w:after="240" w:line="380" w:lineRule="exact"/>
        <w:jc w:val="center"/>
        <w:rPr>
          <w:rFonts w:ascii="方正仿宋_GBK" w:hAnsi="宋体" w:eastAsia="方正仿宋_GBK" w:cs="Times New Roman"/>
          <w:b/>
          <w:sz w:val="24"/>
          <w:szCs w:val="24"/>
        </w:rPr>
      </w:pPr>
    </w:p>
    <w:p w14:paraId="6C4219A6">
      <w:pPr>
        <w:widowControl/>
        <w:jc w:val="left"/>
        <w:rPr>
          <w:rFonts w:ascii="方正仿宋_GBK" w:hAnsi="宋体" w:eastAsia="方正仿宋_GBK" w:cs="Times New Roman"/>
          <w:b/>
          <w:sz w:val="24"/>
          <w:szCs w:val="24"/>
        </w:rPr>
      </w:pPr>
      <w:r>
        <w:rPr>
          <w:rFonts w:hint="eastAsia" w:ascii="方正仿宋_GBK" w:hAnsi="宋体" w:eastAsia="方正仿宋_GBK" w:cs="Times New Roman"/>
          <w:b/>
          <w:sz w:val="24"/>
          <w:szCs w:val="24"/>
        </w:rPr>
        <w:br w:type="page"/>
      </w:r>
    </w:p>
    <w:p w14:paraId="361373D0">
      <w:pPr>
        <w:numPr>
          <w:ilvl w:val="0"/>
          <w:numId w:val="1"/>
        </w:numPr>
        <w:spacing w:line="380" w:lineRule="exact"/>
        <w:rPr>
          <w:rFonts w:ascii="方正仿宋_GBK" w:hAnsi="宋体" w:eastAsia="方正仿宋_GBK" w:cs="Times New Roman"/>
          <w:b/>
          <w:sz w:val="24"/>
          <w:szCs w:val="24"/>
        </w:rPr>
      </w:pPr>
      <w:r>
        <w:rPr>
          <w:rFonts w:hint="eastAsia" w:ascii="方正仿宋_GBK" w:hAnsi="宋体" w:eastAsia="方正仿宋_GBK" w:cs="Times New Roman"/>
          <w:b/>
          <w:sz w:val="24"/>
          <w:szCs w:val="24"/>
        </w:rPr>
        <w:t>报 价 表</w:t>
      </w:r>
    </w:p>
    <w:tbl>
      <w:tblPr>
        <w:tblStyle w:val="7"/>
        <w:tblW w:w="8742" w:type="dxa"/>
        <w:tblInd w:w="-1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3997"/>
        <w:gridCol w:w="724"/>
        <w:gridCol w:w="855"/>
        <w:gridCol w:w="2435"/>
      </w:tblGrid>
      <w:tr w14:paraId="06F4D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731" w:type="dxa"/>
            <w:vAlign w:val="center"/>
          </w:tcPr>
          <w:p w14:paraId="52BA225E">
            <w:pPr>
              <w:spacing w:line="380" w:lineRule="exact"/>
              <w:jc w:val="center"/>
              <w:rPr>
                <w:rFonts w:ascii="方正仿宋_GBK" w:hAnsi="宋体" w:eastAsia="方正仿宋_GBK" w:cstheme="minorEastAsia"/>
                <w:sz w:val="24"/>
                <w:szCs w:val="24"/>
              </w:rPr>
            </w:pPr>
            <w:r>
              <w:rPr>
                <w:rFonts w:hint="eastAsia" w:ascii="方正仿宋_GBK" w:hAnsi="宋体" w:eastAsia="方正仿宋_GBK" w:cstheme="minorEastAsia"/>
                <w:sz w:val="24"/>
                <w:szCs w:val="24"/>
              </w:rPr>
              <w:t>序号</w:t>
            </w:r>
          </w:p>
        </w:tc>
        <w:tc>
          <w:tcPr>
            <w:tcW w:w="3997" w:type="dxa"/>
            <w:tcBorders/>
            <w:shd w:val="clear" w:color="auto" w:fill="auto"/>
            <w:vAlign w:val="center"/>
          </w:tcPr>
          <w:p w14:paraId="3717535B">
            <w:pPr>
              <w:spacing w:line="380" w:lineRule="exact"/>
              <w:jc w:val="center"/>
              <w:rPr>
                <w:rFonts w:ascii="方正仿宋_GBK" w:hAnsi="宋体" w:eastAsia="方正仿宋_GBK" w:cstheme="minorEastAsia"/>
                <w:sz w:val="24"/>
                <w:szCs w:val="24"/>
              </w:rPr>
            </w:pPr>
            <w:r>
              <w:rPr>
                <w:rFonts w:hint="eastAsia" w:ascii="方正仿宋_GBK" w:hAnsi="宋体" w:eastAsia="方正仿宋_GBK" w:cstheme="minorEastAsia"/>
                <w:sz w:val="24"/>
                <w:szCs w:val="24"/>
                <w:lang w:val="en-US" w:eastAsia="zh-CN"/>
              </w:rPr>
              <w:t>采购（服务）内容</w:t>
            </w:r>
          </w:p>
        </w:tc>
        <w:tc>
          <w:tcPr>
            <w:tcW w:w="724" w:type="dxa"/>
            <w:shd w:val="clear" w:color="auto" w:fill="auto"/>
            <w:vAlign w:val="center"/>
          </w:tcPr>
          <w:p w14:paraId="6165A264">
            <w:pPr>
              <w:spacing w:line="380" w:lineRule="exact"/>
              <w:jc w:val="center"/>
              <w:rPr>
                <w:rFonts w:ascii="方正仿宋_GBK" w:hAnsi="宋体" w:eastAsia="方正仿宋_GBK" w:cstheme="minorEastAsia"/>
                <w:sz w:val="24"/>
                <w:szCs w:val="24"/>
              </w:rPr>
            </w:pPr>
            <w:r>
              <w:rPr>
                <w:rFonts w:hint="eastAsia" w:ascii="方正仿宋_GBK" w:hAnsi="宋体" w:eastAsia="方正仿宋_GBK" w:cstheme="minorEastAsia"/>
                <w:sz w:val="24"/>
                <w:szCs w:val="24"/>
              </w:rPr>
              <w:t>单位</w:t>
            </w:r>
          </w:p>
        </w:tc>
        <w:tc>
          <w:tcPr>
            <w:tcW w:w="855" w:type="dxa"/>
            <w:shd w:val="clear" w:color="auto" w:fill="auto"/>
            <w:vAlign w:val="center"/>
          </w:tcPr>
          <w:p w14:paraId="785C1661">
            <w:pPr>
              <w:spacing w:line="380" w:lineRule="exact"/>
              <w:jc w:val="center"/>
              <w:rPr>
                <w:rFonts w:ascii="方正仿宋_GBK" w:hAnsi="宋体" w:eastAsia="方正仿宋_GBK" w:cstheme="minorEastAsia"/>
                <w:sz w:val="24"/>
                <w:szCs w:val="24"/>
              </w:rPr>
            </w:pPr>
            <w:r>
              <w:rPr>
                <w:rFonts w:hint="eastAsia" w:ascii="方正仿宋_GBK" w:hAnsi="宋体" w:eastAsia="方正仿宋_GBK" w:cstheme="minorEastAsia"/>
                <w:sz w:val="24"/>
                <w:szCs w:val="24"/>
              </w:rPr>
              <w:t>数量</w:t>
            </w:r>
          </w:p>
        </w:tc>
        <w:tc>
          <w:tcPr>
            <w:tcW w:w="2435" w:type="dxa"/>
            <w:tcBorders/>
            <w:shd w:val="clear" w:color="auto" w:fill="auto"/>
            <w:vAlign w:val="center"/>
          </w:tcPr>
          <w:p w14:paraId="4C09E3E8">
            <w:pPr>
              <w:spacing w:line="380" w:lineRule="exact"/>
              <w:jc w:val="center"/>
              <w:rPr>
                <w:rFonts w:ascii="方正仿宋_GBK" w:hAnsi="宋体" w:eastAsia="方正仿宋_GBK" w:cstheme="minorEastAsia"/>
                <w:sz w:val="24"/>
                <w:szCs w:val="24"/>
              </w:rPr>
            </w:pPr>
            <w:r>
              <w:rPr>
                <w:rFonts w:hint="eastAsia" w:ascii="方正仿宋_GBK" w:hAnsi="宋体" w:eastAsia="方正仿宋_GBK" w:cstheme="minorEastAsia"/>
                <w:sz w:val="24"/>
                <w:szCs w:val="24"/>
              </w:rPr>
              <w:t>含税价</w:t>
            </w:r>
          </w:p>
        </w:tc>
      </w:tr>
      <w:tr w14:paraId="7C184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731" w:type="dxa"/>
            <w:vAlign w:val="center"/>
          </w:tcPr>
          <w:p w14:paraId="7507CFAE">
            <w:pPr>
              <w:spacing w:line="380" w:lineRule="exact"/>
              <w:jc w:val="center"/>
              <w:rPr>
                <w:rFonts w:ascii="方正仿宋_GBK" w:hAnsi="宋体" w:eastAsia="方正仿宋_GBK" w:cstheme="minorEastAsia"/>
                <w:sz w:val="24"/>
                <w:szCs w:val="24"/>
              </w:rPr>
            </w:pPr>
            <w:r>
              <w:rPr>
                <w:rFonts w:hint="eastAsia" w:ascii="方正仿宋_GBK" w:hAnsi="宋体" w:eastAsia="方正仿宋_GBK" w:cstheme="minorEastAsia"/>
                <w:sz w:val="24"/>
                <w:szCs w:val="24"/>
              </w:rPr>
              <w:t>1</w:t>
            </w:r>
          </w:p>
        </w:tc>
        <w:tc>
          <w:tcPr>
            <w:tcW w:w="3997" w:type="dxa"/>
            <w:shd w:val="clear" w:color="auto" w:fill="auto"/>
            <w:vAlign w:val="center"/>
          </w:tcPr>
          <w:p w14:paraId="38B34E94">
            <w:pPr>
              <w:spacing w:line="380" w:lineRule="exact"/>
              <w:jc w:val="center"/>
              <w:rPr>
                <w:rFonts w:hint="default" w:ascii="方正仿宋_GBK" w:hAnsi="宋体" w:eastAsia="方正仿宋_GBK" w:cstheme="minorEastAsia"/>
                <w:sz w:val="24"/>
                <w:szCs w:val="24"/>
                <w:lang w:val="en-US" w:eastAsia="zh-CN"/>
              </w:rPr>
            </w:pPr>
            <w:r>
              <w:rPr>
                <w:rFonts w:hint="eastAsia" w:ascii="方正仿宋_GBK" w:hAnsi="宋体" w:eastAsia="方正仿宋_GBK" w:cstheme="minorEastAsia"/>
                <w:sz w:val="24"/>
                <w:szCs w:val="24"/>
                <w:lang w:val="en-US" w:eastAsia="zh-CN"/>
              </w:rPr>
              <w:t>“一厂一策”方案及申报资料编制</w:t>
            </w:r>
          </w:p>
        </w:tc>
        <w:tc>
          <w:tcPr>
            <w:tcW w:w="724" w:type="dxa"/>
            <w:shd w:val="clear" w:color="auto" w:fill="auto"/>
            <w:vAlign w:val="center"/>
          </w:tcPr>
          <w:p w14:paraId="248EB9FC">
            <w:pPr>
              <w:spacing w:line="380" w:lineRule="exact"/>
              <w:jc w:val="center"/>
              <w:rPr>
                <w:rFonts w:hint="eastAsia" w:ascii="方正仿宋_GBK" w:hAnsi="宋体" w:eastAsia="方正仿宋_GBK" w:cstheme="minorEastAsia"/>
                <w:sz w:val="24"/>
                <w:szCs w:val="24"/>
                <w:lang w:val="en-US" w:eastAsia="zh-CN"/>
              </w:rPr>
            </w:pPr>
            <w:r>
              <w:rPr>
                <w:rFonts w:hint="eastAsia" w:ascii="方正仿宋_GBK" w:hAnsi="宋体" w:eastAsia="方正仿宋_GBK" w:cstheme="minorEastAsia"/>
                <w:sz w:val="24"/>
                <w:szCs w:val="24"/>
                <w:lang w:val="en-US" w:eastAsia="zh-CN"/>
              </w:rPr>
              <w:t>项</w:t>
            </w:r>
          </w:p>
        </w:tc>
        <w:tc>
          <w:tcPr>
            <w:tcW w:w="855" w:type="dxa"/>
            <w:shd w:val="clear" w:color="auto" w:fill="auto"/>
            <w:vAlign w:val="center"/>
          </w:tcPr>
          <w:p w14:paraId="518ABB00">
            <w:pPr>
              <w:spacing w:line="380" w:lineRule="exact"/>
              <w:jc w:val="center"/>
              <w:rPr>
                <w:rFonts w:hint="eastAsia" w:ascii="方正仿宋_GBK" w:hAnsi="宋体" w:eastAsia="方正仿宋_GBK" w:cstheme="minorEastAsia"/>
                <w:sz w:val="24"/>
                <w:szCs w:val="24"/>
                <w:lang w:val="en-US" w:eastAsia="zh-CN"/>
              </w:rPr>
            </w:pPr>
            <w:r>
              <w:rPr>
                <w:rFonts w:hint="eastAsia" w:ascii="方正仿宋_GBK" w:hAnsi="宋体" w:eastAsia="方正仿宋_GBK" w:cstheme="minorEastAsia"/>
                <w:sz w:val="24"/>
                <w:szCs w:val="24"/>
                <w:lang w:val="en-US" w:eastAsia="zh-CN"/>
              </w:rPr>
              <w:t>1</w:t>
            </w:r>
          </w:p>
        </w:tc>
        <w:tc>
          <w:tcPr>
            <w:tcW w:w="2435" w:type="dxa"/>
            <w:shd w:val="clear" w:color="auto" w:fill="auto"/>
            <w:vAlign w:val="center"/>
          </w:tcPr>
          <w:p w14:paraId="36DB0B4E">
            <w:pPr>
              <w:spacing w:line="380" w:lineRule="exact"/>
              <w:jc w:val="center"/>
              <w:rPr>
                <w:rFonts w:ascii="方正仿宋_GBK" w:hAnsi="宋体" w:eastAsia="方正仿宋_GBK" w:cstheme="minorEastAsia"/>
                <w:sz w:val="24"/>
                <w:szCs w:val="24"/>
              </w:rPr>
            </w:pPr>
          </w:p>
        </w:tc>
      </w:tr>
      <w:tr w14:paraId="59921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731" w:type="dxa"/>
            <w:vAlign w:val="center"/>
          </w:tcPr>
          <w:p w14:paraId="77574A6C">
            <w:pPr>
              <w:spacing w:line="380" w:lineRule="exact"/>
              <w:jc w:val="center"/>
              <w:rPr>
                <w:rFonts w:ascii="方正仿宋_GBK" w:hAnsi="宋体" w:eastAsia="方正仿宋_GBK" w:cstheme="minorEastAsia"/>
                <w:sz w:val="24"/>
                <w:szCs w:val="24"/>
              </w:rPr>
            </w:pPr>
            <w:r>
              <w:rPr>
                <w:rFonts w:hint="eastAsia" w:ascii="方正仿宋_GBK" w:hAnsi="宋体" w:eastAsia="方正仿宋_GBK" w:cstheme="minorEastAsia"/>
                <w:sz w:val="24"/>
                <w:szCs w:val="24"/>
              </w:rPr>
              <w:t>2</w:t>
            </w:r>
          </w:p>
        </w:tc>
        <w:tc>
          <w:tcPr>
            <w:tcW w:w="3997" w:type="dxa"/>
            <w:shd w:val="clear" w:color="auto" w:fill="auto"/>
            <w:vAlign w:val="center"/>
          </w:tcPr>
          <w:p w14:paraId="3BECD575">
            <w:pPr>
              <w:spacing w:line="380" w:lineRule="exact"/>
              <w:jc w:val="center"/>
              <w:rPr>
                <w:rFonts w:ascii="方正仿宋_GBK" w:hAnsi="宋体" w:eastAsia="方正仿宋_GBK" w:cstheme="minorEastAsia"/>
                <w:sz w:val="24"/>
                <w:szCs w:val="24"/>
              </w:rPr>
            </w:pPr>
            <w:r>
              <w:rPr>
                <w:rFonts w:hint="eastAsia" w:ascii="方正仿宋_GBK" w:hAnsi="宋体" w:eastAsia="方正仿宋_GBK" w:cstheme="minorEastAsia"/>
                <w:sz w:val="24"/>
                <w:szCs w:val="24"/>
                <w:lang w:val="en-US" w:eastAsia="zh-CN"/>
              </w:rPr>
              <w:t>运输管理设置门禁系统</w:t>
            </w:r>
          </w:p>
        </w:tc>
        <w:tc>
          <w:tcPr>
            <w:tcW w:w="724" w:type="dxa"/>
            <w:shd w:val="clear" w:color="auto" w:fill="auto"/>
            <w:vAlign w:val="center"/>
          </w:tcPr>
          <w:p w14:paraId="3D1570E3">
            <w:pPr>
              <w:spacing w:line="380" w:lineRule="exact"/>
              <w:jc w:val="center"/>
              <w:rPr>
                <w:rFonts w:hint="eastAsia" w:ascii="方正仿宋_GBK" w:hAnsi="宋体" w:eastAsia="方正仿宋_GBK" w:cstheme="minorEastAsia"/>
                <w:sz w:val="24"/>
                <w:szCs w:val="24"/>
                <w:lang w:val="en-US" w:eastAsia="zh-CN"/>
              </w:rPr>
            </w:pPr>
            <w:r>
              <w:rPr>
                <w:rFonts w:hint="eastAsia" w:ascii="方正仿宋_GBK" w:hAnsi="宋体" w:eastAsia="方正仿宋_GBK" w:cstheme="minorEastAsia"/>
                <w:sz w:val="24"/>
                <w:szCs w:val="24"/>
                <w:lang w:val="en-US" w:eastAsia="zh-CN"/>
              </w:rPr>
              <w:t>项</w:t>
            </w:r>
          </w:p>
        </w:tc>
        <w:tc>
          <w:tcPr>
            <w:tcW w:w="855" w:type="dxa"/>
            <w:shd w:val="clear" w:color="auto" w:fill="auto"/>
            <w:vAlign w:val="center"/>
          </w:tcPr>
          <w:p w14:paraId="6694D543">
            <w:pPr>
              <w:spacing w:line="380" w:lineRule="exact"/>
              <w:jc w:val="center"/>
              <w:rPr>
                <w:rFonts w:hint="eastAsia" w:ascii="方正仿宋_GBK" w:hAnsi="宋体" w:eastAsia="方正仿宋_GBK" w:cstheme="minorEastAsia"/>
                <w:sz w:val="24"/>
                <w:szCs w:val="24"/>
                <w:lang w:val="en-US" w:eastAsia="zh-CN"/>
              </w:rPr>
            </w:pPr>
            <w:r>
              <w:rPr>
                <w:rFonts w:hint="eastAsia" w:ascii="方正仿宋_GBK" w:hAnsi="宋体" w:eastAsia="方正仿宋_GBK" w:cstheme="minorEastAsia"/>
                <w:sz w:val="24"/>
                <w:szCs w:val="24"/>
                <w:lang w:val="en-US" w:eastAsia="zh-CN"/>
              </w:rPr>
              <w:t>1</w:t>
            </w:r>
          </w:p>
        </w:tc>
        <w:tc>
          <w:tcPr>
            <w:tcW w:w="2435" w:type="dxa"/>
            <w:shd w:val="clear" w:color="auto" w:fill="auto"/>
            <w:vAlign w:val="center"/>
          </w:tcPr>
          <w:p w14:paraId="417DA39B">
            <w:pPr>
              <w:spacing w:line="380" w:lineRule="exact"/>
              <w:jc w:val="center"/>
              <w:rPr>
                <w:rFonts w:ascii="方正仿宋_GBK" w:hAnsi="宋体" w:eastAsia="方正仿宋_GBK" w:cstheme="minorEastAsia"/>
                <w:sz w:val="24"/>
                <w:szCs w:val="24"/>
              </w:rPr>
            </w:pPr>
          </w:p>
        </w:tc>
      </w:tr>
      <w:tr w14:paraId="0D79C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731" w:type="dxa"/>
            <w:vAlign w:val="center"/>
          </w:tcPr>
          <w:p w14:paraId="51CCAB1B">
            <w:pPr>
              <w:spacing w:line="380" w:lineRule="exact"/>
              <w:jc w:val="center"/>
              <w:rPr>
                <w:rFonts w:hint="eastAsia" w:ascii="方正仿宋_GBK" w:hAnsi="宋体" w:eastAsia="方正仿宋_GBK" w:cstheme="minorEastAsia"/>
                <w:sz w:val="24"/>
                <w:szCs w:val="24"/>
                <w:lang w:val="en-US" w:eastAsia="zh-CN"/>
              </w:rPr>
            </w:pPr>
            <w:r>
              <w:rPr>
                <w:rFonts w:hint="eastAsia" w:ascii="方正仿宋_GBK" w:hAnsi="宋体" w:eastAsia="方正仿宋_GBK" w:cstheme="minorEastAsia"/>
                <w:sz w:val="24"/>
                <w:szCs w:val="24"/>
                <w:lang w:val="en-US" w:eastAsia="zh-CN"/>
              </w:rPr>
              <w:t>3</w:t>
            </w:r>
          </w:p>
        </w:tc>
        <w:tc>
          <w:tcPr>
            <w:tcW w:w="3997" w:type="dxa"/>
            <w:shd w:val="clear" w:color="auto" w:fill="auto"/>
            <w:vAlign w:val="center"/>
          </w:tcPr>
          <w:p w14:paraId="64EAEAAD">
            <w:pPr>
              <w:spacing w:line="380" w:lineRule="exact"/>
              <w:jc w:val="center"/>
              <w:rPr>
                <w:rFonts w:hint="default" w:ascii="方正仿宋_GBK" w:hAnsi="宋体" w:eastAsia="方正仿宋_GBK" w:cstheme="minorEastAsia"/>
                <w:sz w:val="24"/>
                <w:szCs w:val="24"/>
                <w:lang w:val="en-US" w:eastAsia="zh-CN"/>
              </w:rPr>
            </w:pPr>
            <w:r>
              <w:rPr>
                <w:rFonts w:hint="eastAsia" w:ascii="方正仿宋_GBK" w:hAnsi="宋体" w:eastAsia="方正仿宋_GBK" w:cstheme="minorEastAsia"/>
                <w:sz w:val="24"/>
                <w:szCs w:val="24"/>
                <w:lang w:val="en-US" w:eastAsia="zh-CN"/>
              </w:rPr>
              <w:t>根据四川蜀道装备公司实际情况需增加的其余费用（检测费、增添设备费）</w:t>
            </w:r>
          </w:p>
        </w:tc>
        <w:tc>
          <w:tcPr>
            <w:tcW w:w="724" w:type="dxa"/>
            <w:shd w:val="clear" w:color="auto" w:fill="auto"/>
            <w:vAlign w:val="center"/>
          </w:tcPr>
          <w:p w14:paraId="3F1F73A6">
            <w:pPr>
              <w:spacing w:line="380" w:lineRule="exact"/>
              <w:jc w:val="center"/>
              <w:rPr>
                <w:rFonts w:hint="default" w:ascii="方正仿宋_GBK" w:hAnsi="宋体" w:eastAsia="方正仿宋_GBK" w:cstheme="minorEastAsia"/>
                <w:sz w:val="24"/>
                <w:szCs w:val="24"/>
                <w:lang w:val="en-US" w:eastAsia="zh-CN"/>
              </w:rPr>
            </w:pPr>
            <w:r>
              <w:rPr>
                <w:rFonts w:hint="eastAsia" w:ascii="方正仿宋_GBK" w:hAnsi="宋体" w:eastAsia="方正仿宋_GBK" w:cstheme="minorEastAsia"/>
                <w:sz w:val="24"/>
                <w:szCs w:val="24"/>
                <w:lang w:val="en-US" w:eastAsia="zh-CN"/>
              </w:rPr>
              <w:t>项</w:t>
            </w:r>
          </w:p>
        </w:tc>
        <w:tc>
          <w:tcPr>
            <w:tcW w:w="855" w:type="dxa"/>
            <w:shd w:val="clear" w:color="auto" w:fill="auto"/>
            <w:vAlign w:val="center"/>
          </w:tcPr>
          <w:p w14:paraId="46803E13">
            <w:pPr>
              <w:spacing w:line="380" w:lineRule="exact"/>
              <w:jc w:val="center"/>
              <w:rPr>
                <w:rFonts w:hint="default" w:ascii="方正仿宋_GBK" w:hAnsi="宋体" w:eastAsia="方正仿宋_GBK" w:cstheme="minorEastAsia"/>
                <w:sz w:val="24"/>
                <w:szCs w:val="24"/>
                <w:lang w:val="en-US" w:eastAsia="zh-CN"/>
              </w:rPr>
            </w:pPr>
            <w:r>
              <w:rPr>
                <w:rFonts w:hint="eastAsia" w:ascii="方正仿宋_GBK" w:hAnsi="宋体" w:eastAsia="方正仿宋_GBK" w:cstheme="minorEastAsia"/>
                <w:sz w:val="24"/>
                <w:szCs w:val="24"/>
                <w:lang w:val="en-US" w:eastAsia="zh-CN"/>
              </w:rPr>
              <w:t>1</w:t>
            </w:r>
          </w:p>
        </w:tc>
        <w:tc>
          <w:tcPr>
            <w:tcW w:w="2435" w:type="dxa"/>
            <w:shd w:val="clear" w:color="auto" w:fill="auto"/>
            <w:vAlign w:val="center"/>
          </w:tcPr>
          <w:p w14:paraId="4C4DDC45">
            <w:pPr>
              <w:spacing w:line="380" w:lineRule="exact"/>
              <w:jc w:val="center"/>
              <w:rPr>
                <w:rFonts w:ascii="方正仿宋_GBK" w:hAnsi="宋体" w:eastAsia="方正仿宋_GBK" w:cstheme="minorEastAsia"/>
                <w:sz w:val="24"/>
                <w:szCs w:val="24"/>
              </w:rPr>
            </w:pPr>
          </w:p>
        </w:tc>
      </w:tr>
      <w:tr w14:paraId="36B58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8742" w:type="dxa"/>
            <w:gridSpan w:val="5"/>
            <w:vAlign w:val="center"/>
          </w:tcPr>
          <w:p w14:paraId="6880B8EE">
            <w:pPr>
              <w:spacing w:line="380" w:lineRule="exact"/>
              <w:rPr>
                <w:rFonts w:hint="eastAsia" w:ascii="方正仿宋_GBK" w:hAnsi="宋体" w:eastAsia="方正仿宋_GBK" w:cstheme="minorEastAsia"/>
                <w:sz w:val="24"/>
                <w:szCs w:val="24"/>
              </w:rPr>
            </w:pPr>
            <w:r>
              <w:rPr>
                <w:rFonts w:hint="eastAsia" w:ascii="方正仿宋_GBK" w:hAnsi="宋体" w:eastAsia="方正仿宋_GBK" w:cstheme="minorEastAsia"/>
                <w:sz w:val="24"/>
                <w:szCs w:val="24"/>
              </w:rPr>
              <w:t>合计：     元（人民币大写：                  ）</w:t>
            </w:r>
          </w:p>
          <w:p w14:paraId="59CDEE8E">
            <w:pPr>
              <w:spacing w:line="380" w:lineRule="exact"/>
              <w:rPr>
                <w:rFonts w:hint="eastAsia" w:ascii="方正仿宋_GBK" w:hAnsi="宋体" w:eastAsia="方正仿宋_GBK" w:cstheme="minorEastAsia"/>
                <w:sz w:val="24"/>
                <w:szCs w:val="24"/>
                <w:lang w:val="en-US" w:eastAsia="zh-CN"/>
              </w:rPr>
            </w:pPr>
            <w:r>
              <w:rPr>
                <w:rFonts w:hint="eastAsia" w:ascii="方正仿宋_GBK" w:hAnsi="宋体" w:eastAsia="方正仿宋_GBK" w:cstheme="minorEastAsia"/>
                <w:sz w:val="24"/>
                <w:szCs w:val="24"/>
                <w:lang w:val="en-US" w:eastAsia="zh-CN"/>
              </w:rPr>
              <w:t>税率：</w:t>
            </w:r>
          </w:p>
        </w:tc>
      </w:tr>
    </w:tbl>
    <w:p w14:paraId="5A9B815C">
      <w:pPr>
        <w:pStyle w:val="12"/>
        <w:spacing w:line="380" w:lineRule="exact"/>
        <w:ind w:left="420" w:firstLine="0" w:firstLineChars="0"/>
        <w:jc w:val="left"/>
        <w:rPr>
          <w:rFonts w:ascii="方正仿宋_GBK" w:hAnsi="宋体" w:eastAsia="方正仿宋_GBK" w:cstheme="minorEastAsia"/>
          <w:sz w:val="24"/>
          <w:szCs w:val="24"/>
        </w:rPr>
      </w:pPr>
    </w:p>
    <w:p w14:paraId="0EFC88D1">
      <w:pPr>
        <w:spacing w:line="380" w:lineRule="exact"/>
        <w:ind w:firstLine="480" w:firstLineChars="200"/>
        <w:rPr>
          <w:rFonts w:ascii="方正仿宋_GBK" w:hAnsi="宋体" w:eastAsia="方正仿宋_GBK" w:cs="Times New Roman"/>
          <w:sz w:val="24"/>
          <w:szCs w:val="24"/>
        </w:rPr>
      </w:pPr>
      <w:r>
        <w:rPr>
          <w:rFonts w:hint="eastAsia" w:ascii="方正仿宋_GBK" w:hAnsi="宋体" w:eastAsia="方正仿宋_GBK" w:cs="Times New Roman"/>
          <w:sz w:val="24"/>
          <w:szCs w:val="24"/>
        </w:rPr>
        <w:t>注：</w:t>
      </w:r>
    </w:p>
    <w:p w14:paraId="76028209">
      <w:pPr>
        <w:spacing w:line="380" w:lineRule="exact"/>
        <w:ind w:firstLine="480" w:firstLineChars="200"/>
        <w:rPr>
          <w:rFonts w:ascii="方正仿宋_GBK" w:hAnsi="宋体" w:eastAsia="方正仿宋_GBK" w:cs="Times New Roman"/>
          <w:sz w:val="24"/>
          <w:szCs w:val="24"/>
        </w:rPr>
      </w:pPr>
      <w:r>
        <w:rPr>
          <w:rFonts w:hint="eastAsia" w:ascii="方正仿宋_GBK" w:hAnsi="宋体" w:eastAsia="方正仿宋_GBK" w:cs="Times New Roman"/>
          <w:sz w:val="24"/>
          <w:szCs w:val="24"/>
        </w:rPr>
        <w:t>1、以上报价为报价人完成本项目</w:t>
      </w:r>
      <w:r>
        <w:rPr>
          <w:rFonts w:hint="eastAsia" w:ascii="方正仿宋_GBK" w:hAnsi="宋体" w:eastAsia="方正仿宋_GBK" w:cs="Times New Roman"/>
          <w:color w:val="auto"/>
          <w:sz w:val="24"/>
          <w:szCs w:val="24"/>
        </w:rPr>
        <w:t>服务</w:t>
      </w:r>
      <w:r>
        <w:rPr>
          <w:rFonts w:hint="eastAsia" w:ascii="方正仿宋_GBK" w:hAnsi="宋体" w:eastAsia="方正仿宋_GBK" w:cs="Times New Roman"/>
          <w:sz w:val="24"/>
          <w:szCs w:val="24"/>
        </w:rPr>
        <w:t>及询价文件要求工作所需的全部费用，包含但不限于以下费用：</w:t>
      </w:r>
    </w:p>
    <w:p w14:paraId="6B85E4BB">
      <w:pPr>
        <w:spacing w:line="380" w:lineRule="exact"/>
        <w:ind w:firstLine="480" w:firstLineChars="200"/>
        <w:rPr>
          <w:rFonts w:ascii="方正仿宋_GBK" w:hAnsi="宋体" w:eastAsia="方正仿宋_GBK" w:cs="Times New Roman"/>
          <w:color w:val="auto"/>
          <w:sz w:val="24"/>
          <w:szCs w:val="24"/>
        </w:rPr>
      </w:pPr>
      <w:r>
        <w:rPr>
          <w:rFonts w:hint="eastAsia" w:ascii="方正仿宋_GBK" w:hAnsi="宋体" w:eastAsia="方正仿宋_GBK" w:cs="Times New Roman"/>
          <w:color w:val="auto"/>
          <w:sz w:val="24"/>
          <w:szCs w:val="24"/>
        </w:rPr>
        <w:t>⑴  已缴纳及应缴纳的全部关税、增值税和其他税费；</w:t>
      </w:r>
    </w:p>
    <w:p w14:paraId="59BB9F39">
      <w:pPr>
        <w:spacing w:line="380" w:lineRule="exact"/>
        <w:ind w:firstLine="480" w:firstLineChars="200"/>
        <w:rPr>
          <w:rFonts w:ascii="方正仿宋_GBK" w:hAnsi="宋体" w:eastAsia="方正仿宋_GBK" w:cs="Times New Roman"/>
          <w:color w:val="auto"/>
          <w:sz w:val="24"/>
          <w:szCs w:val="24"/>
        </w:rPr>
      </w:pPr>
      <w:r>
        <w:rPr>
          <w:rFonts w:hint="eastAsia" w:ascii="方正仿宋_GBK" w:hAnsi="宋体" w:eastAsia="方正仿宋_GBK" w:cs="Times New Roman"/>
          <w:color w:val="auto"/>
          <w:sz w:val="24"/>
          <w:szCs w:val="24"/>
        </w:rPr>
        <w:t>⑵  货物运至交货地点的运输、保险、装卸费和其他伴随费用；</w:t>
      </w:r>
    </w:p>
    <w:p w14:paraId="76656FCA">
      <w:pPr>
        <w:spacing w:line="380" w:lineRule="exact"/>
        <w:ind w:firstLine="480" w:firstLineChars="200"/>
        <w:rPr>
          <w:rFonts w:ascii="方正仿宋_GBK" w:hAnsi="宋体" w:eastAsia="方正仿宋_GBK" w:cs="Times New Roman"/>
          <w:color w:val="auto"/>
          <w:sz w:val="24"/>
          <w:szCs w:val="24"/>
        </w:rPr>
      </w:pPr>
      <w:r>
        <w:rPr>
          <w:rFonts w:hint="eastAsia" w:ascii="方正仿宋_GBK" w:hAnsi="宋体" w:eastAsia="方正仿宋_GBK" w:cs="Times New Roman"/>
          <w:color w:val="auto"/>
          <w:sz w:val="24"/>
          <w:szCs w:val="24"/>
        </w:rPr>
        <w:t>⑶  货物配套资料费用、产品出厂检测等费用；</w:t>
      </w:r>
    </w:p>
    <w:p w14:paraId="15EFBDAD">
      <w:pPr>
        <w:spacing w:line="380" w:lineRule="exact"/>
        <w:ind w:firstLine="480" w:firstLineChars="200"/>
        <w:rPr>
          <w:rFonts w:ascii="方正仿宋_GBK" w:hAnsi="宋体" w:eastAsia="方正仿宋_GBK" w:cs="Times New Roman"/>
          <w:color w:val="auto"/>
          <w:sz w:val="24"/>
          <w:szCs w:val="24"/>
        </w:rPr>
      </w:pPr>
      <w:r>
        <w:rPr>
          <w:rFonts w:hint="eastAsia" w:ascii="方正仿宋_GBK" w:hAnsi="宋体" w:eastAsia="方正仿宋_GBK" w:cs="Times New Roman"/>
          <w:color w:val="auto"/>
          <w:sz w:val="24"/>
          <w:szCs w:val="24"/>
        </w:rPr>
        <w:t>⑷  货物安装调试、售后服务费、技术指导、服务、培训费；</w:t>
      </w:r>
    </w:p>
    <w:p w14:paraId="216CEFBB">
      <w:pPr>
        <w:spacing w:line="380" w:lineRule="exact"/>
        <w:ind w:firstLine="480" w:firstLineChars="200"/>
        <w:rPr>
          <w:rFonts w:hint="eastAsia" w:ascii="方正仿宋_GBK" w:hAnsi="宋体" w:eastAsia="方正仿宋_GBK" w:cs="Times New Roman"/>
          <w:color w:val="auto"/>
          <w:sz w:val="24"/>
          <w:szCs w:val="24"/>
          <w:lang w:val="en-US" w:eastAsia="zh-CN"/>
        </w:rPr>
      </w:pPr>
      <w:r>
        <w:rPr>
          <w:rFonts w:hint="eastAsia" w:ascii="方正仿宋_GBK" w:hAnsi="宋体" w:eastAsia="方正仿宋_GBK" w:cs="Times New Roman"/>
          <w:color w:val="auto"/>
          <w:sz w:val="24"/>
          <w:szCs w:val="24"/>
        </w:rPr>
        <w:t>⑸  货物在运输或装卸过程中的自然损耗产生的费用。</w:t>
      </w:r>
    </w:p>
    <w:p w14:paraId="0A33F84C">
      <w:pPr>
        <w:spacing w:line="380" w:lineRule="exact"/>
        <w:ind w:firstLine="480" w:firstLineChars="200"/>
        <w:rPr>
          <w:rFonts w:ascii="方正仿宋_GBK" w:hAnsi="宋体" w:eastAsia="方正仿宋_GBK" w:cs="Times New Roman"/>
          <w:sz w:val="24"/>
          <w:szCs w:val="24"/>
        </w:rPr>
      </w:pPr>
      <w:r>
        <w:rPr>
          <w:rFonts w:hint="eastAsia" w:ascii="方正仿宋_GBK" w:hAnsi="宋体" w:eastAsia="方正仿宋_GBK" w:cs="Times New Roman"/>
          <w:sz w:val="24"/>
          <w:szCs w:val="24"/>
        </w:rPr>
        <w:t>2、报价人应以人民币进行报价，须一次报出不得更改的价格，成交后不作调整。</w:t>
      </w:r>
    </w:p>
    <w:p w14:paraId="2E91B5DC">
      <w:pPr>
        <w:spacing w:line="380" w:lineRule="exact"/>
        <w:ind w:firstLine="480" w:firstLineChars="200"/>
        <w:jc w:val="left"/>
        <w:rPr>
          <w:rFonts w:hint="eastAsia" w:ascii="方正仿宋_GBK" w:hAnsi="宋体" w:eastAsia="方正仿宋_GBK" w:cs="Times New Roman"/>
          <w:bCs/>
          <w:sz w:val="24"/>
          <w:szCs w:val="24"/>
        </w:rPr>
      </w:pPr>
      <w:r>
        <w:rPr>
          <w:rFonts w:hint="eastAsia" w:ascii="方正仿宋_GBK" w:hAnsi="宋体" w:eastAsia="方正仿宋_GBK" w:cs="Times New Roman"/>
          <w:sz w:val="24"/>
          <w:szCs w:val="24"/>
        </w:rPr>
        <w:t>3、报价人应开具增值税专用发票。</w:t>
      </w:r>
      <w:r>
        <w:rPr>
          <w:rFonts w:hint="eastAsia" w:ascii="方正仿宋_GBK" w:hAnsi="宋体" w:eastAsia="方正仿宋_GBK" w:cs="Times New Roman"/>
          <w:bCs/>
          <w:sz w:val="24"/>
          <w:szCs w:val="24"/>
        </w:rPr>
        <w:t>采购人将以该表中</w:t>
      </w:r>
      <w:r>
        <w:rPr>
          <w:rFonts w:hint="eastAsia" w:ascii="方正仿宋_GBK" w:hAnsi="宋体" w:eastAsia="方正仿宋_GBK" w:cs="Times New Roman"/>
          <w:b/>
          <w:bCs/>
          <w:sz w:val="24"/>
          <w:szCs w:val="24"/>
          <w:u w:val="single"/>
        </w:rPr>
        <w:t>合计金额</w:t>
      </w:r>
      <w:r>
        <w:rPr>
          <w:rFonts w:hint="eastAsia" w:ascii="方正仿宋_GBK" w:hAnsi="宋体" w:eastAsia="方正仿宋_GBK" w:cs="Times New Roman"/>
          <w:bCs/>
          <w:sz w:val="24"/>
          <w:szCs w:val="24"/>
        </w:rPr>
        <w:t>作为评审依据。</w:t>
      </w:r>
    </w:p>
    <w:p w14:paraId="3DD4EB60">
      <w:pPr>
        <w:spacing w:line="380" w:lineRule="exact"/>
        <w:ind w:firstLine="480" w:firstLineChars="200"/>
        <w:jc w:val="left"/>
        <w:rPr>
          <w:rFonts w:hint="default" w:ascii="方正仿宋_GBK" w:hAnsi="宋体" w:eastAsia="方正仿宋_GBK" w:cs="Times New Roman"/>
          <w:bCs/>
          <w:sz w:val="24"/>
          <w:szCs w:val="24"/>
          <w:lang w:val="en-US" w:eastAsia="zh-CN"/>
        </w:rPr>
      </w:pPr>
      <w:r>
        <w:rPr>
          <w:rFonts w:hint="eastAsia" w:ascii="方正仿宋_GBK" w:hAnsi="宋体" w:eastAsia="方正仿宋_GBK" w:cs="Times New Roman"/>
          <w:bCs/>
          <w:sz w:val="24"/>
          <w:szCs w:val="24"/>
          <w:lang w:val="en-US" w:eastAsia="zh-CN"/>
        </w:rPr>
        <w:t>4、报价人参与报价则视为对四川蜀道装</w:t>
      </w:r>
      <w:bookmarkStart w:id="1" w:name="_GoBack"/>
      <w:bookmarkEnd w:id="1"/>
      <w:r>
        <w:rPr>
          <w:rFonts w:hint="eastAsia" w:ascii="方正仿宋_GBK" w:hAnsi="宋体" w:eastAsia="方正仿宋_GBK" w:cs="Times New Roman"/>
          <w:bCs/>
          <w:sz w:val="24"/>
          <w:szCs w:val="24"/>
          <w:lang w:val="en-US" w:eastAsia="zh-CN"/>
        </w:rPr>
        <w:t>备科技股份有限公司生态环境管理实际情况予以全面了解而进行的报价。</w:t>
      </w:r>
    </w:p>
    <w:p w14:paraId="38986521">
      <w:pPr>
        <w:spacing w:line="380" w:lineRule="exact"/>
        <w:ind w:left="420" w:right="840"/>
        <w:jc w:val="right"/>
        <w:rPr>
          <w:rFonts w:ascii="方正仿宋_GBK" w:hAnsi="宋体" w:eastAsia="方正仿宋_GBK" w:cs="Times New Roman"/>
          <w:bCs/>
          <w:sz w:val="24"/>
          <w:szCs w:val="24"/>
        </w:rPr>
      </w:pPr>
      <w:r>
        <w:rPr>
          <w:rFonts w:hint="eastAsia" w:ascii="方正仿宋_GBK" w:hAnsi="宋体" w:eastAsia="方正仿宋_GBK" w:cs="Times New Roman"/>
          <w:bCs/>
          <w:sz w:val="24"/>
          <w:szCs w:val="24"/>
        </w:rPr>
        <w:t xml:space="preserve">                                                   </w:t>
      </w:r>
    </w:p>
    <w:p w14:paraId="5B0206C3">
      <w:pPr>
        <w:spacing w:line="380" w:lineRule="exact"/>
        <w:ind w:left="420" w:right="1320"/>
        <w:jc w:val="center"/>
        <w:rPr>
          <w:rFonts w:ascii="方正仿宋_GBK" w:hAnsi="宋体" w:eastAsia="方正仿宋_GBK" w:cs="Times New Roman"/>
          <w:bCs/>
          <w:sz w:val="24"/>
          <w:szCs w:val="24"/>
        </w:rPr>
      </w:pPr>
      <w:r>
        <w:rPr>
          <w:rFonts w:hint="eastAsia" w:ascii="方正仿宋_GBK" w:hAnsi="宋体" w:eastAsia="方正仿宋_GBK" w:cs="Times New Roman"/>
          <w:bCs/>
          <w:sz w:val="24"/>
          <w:szCs w:val="24"/>
        </w:rPr>
        <w:t xml:space="preserve">                                                    报价人:        </w:t>
      </w:r>
    </w:p>
    <w:p w14:paraId="5A959FF1">
      <w:pPr>
        <w:spacing w:line="380" w:lineRule="exact"/>
        <w:ind w:left="420" w:right="840"/>
        <w:jc w:val="right"/>
        <w:rPr>
          <w:rFonts w:ascii="方正仿宋_GBK" w:hAnsi="宋体" w:eastAsia="方正仿宋_GBK" w:cs="Times New Roman"/>
          <w:bCs/>
          <w:sz w:val="24"/>
          <w:szCs w:val="24"/>
        </w:rPr>
      </w:pPr>
      <w:r>
        <w:rPr>
          <w:rFonts w:hint="eastAsia" w:ascii="方正仿宋_GBK" w:hAnsi="宋体" w:eastAsia="方正仿宋_GBK" w:cs="Times New Roman"/>
          <w:bCs/>
          <w:sz w:val="24"/>
          <w:szCs w:val="24"/>
        </w:rPr>
        <w:t xml:space="preserve"> (盖章)</w:t>
      </w:r>
    </w:p>
    <w:p w14:paraId="6E917B83">
      <w:pPr>
        <w:widowControl/>
        <w:spacing w:line="380" w:lineRule="exact"/>
        <w:jc w:val="left"/>
        <w:rPr>
          <w:rFonts w:ascii="方正仿宋_GBK" w:hAnsi="宋体" w:eastAsia="方正仿宋_GBK" w:cs="Times New Roman"/>
          <w:sz w:val="24"/>
          <w:szCs w:val="24"/>
        </w:rPr>
      </w:pPr>
      <w:r>
        <w:rPr>
          <w:rFonts w:hint="eastAsia" w:ascii="方正仿宋_GBK" w:hAnsi="宋体" w:eastAsia="方正仿宋_GBK" w:cs="Times New Roman"/>
          <w:sz w:val="24"/>
          <w:szCs w:val="24"/>
        </w:rPr>
        <w:t xml:space="preserve">                                                                年  月  日</w:t>
      </w:r>
    </w:p>
    <w:sectPr>
      <w:headerReference r:id="rId5" w:type="default"/>
      <w:footerReference r:id="rId6" w:type="default"/>
      <w:pgSz w:w="11906" w:h="16838"/>
      <w:pgMar w:top="1440" w:right="1440" w:bottom="1440" w:left="1440" w:header="851" w:footer="992" w:gutter="0"/>
      <w:cols w:space="425"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script"/>
    <w:pitch w:val="default"/>
    <w:sig w:usb0="00000000" w:usb1="00000000" w:usb2="0000001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719922"/>
      <w:docPartObj>
        <w:docPartGallery w:val="autotext"/>
      </w:docPartObj>
    </w:sdtPr>
    <w:sdtContent>
      <w:p w14:paraId="5AF235D3">
        <w:pPr>
          <w:pStyle w:val="5"/>
          <w:jc w:val="center"/>
        </w:pPr>
        <w:r>
          <w:fldChar w:fldCharType="begin"/>
        </w:r>
        <w:r>
          <w:instrText xml:space="preserve"> PAGE   \* MERGEFORMAT </w:instrText>
        </w:r>
        <w:r>
          <w:fldChar w:fldCharType="separate"/>
        </w:r>
        <w:r>
          <w:rPr>
            <w:lang w:val="zh-CN"/>
          </w:rPr>
          <w:t>16</w:t>
        </w:r>
        <w:r>
          <w:rPr>
            <w:lang w:val="zh-CN"/>
          </w:rPr>
          <w:fldChar w:fldCharType="end"/>
        </w:r>
      </w:p>
    </w:sdtContent>
  </w:sdt>
  <w:p w14:paraId="282DCCB8">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7E88EB">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DB26A7"/>
    <w:multiLevelType w:val="multilevel"/>
    <w:tmpl w:val="0EDB26A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2FD640B"/>
    <w:multiLevelType w:val="multilevel"/>
    <w:tmpl w:val="32FD640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8583C6D"/>
    <w:multiLevelType w:val="multilevel"/>
    <w:tmpl w:val="38583C6D"/>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D8B0E8E"/>
    <w:multiLevelType w:val="multilevel"/>
    <w:tmpl w:val="4D8B0E8E"/>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7D873FB"/>
    <w:multiLevelType w:val="multilevel"/>
    <w:tmpl w:val="77D873F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VkMGQ5OTE3MTFjYjNjY2EwYjQzOGQwNDIxOGViZDYifQ=="/>
  </w:docVars>
  <w:rsids>
    <w:rsidRoot w:val="002975AB"/>
    <w:rsid w:val="000155A1"/>
    <w:rsid w:val="000165AE"/>
    <w:rsid w:val="00017D91"/>
    <w:rsid w:val="000204AF"/>
    <w:rsid w:val="0002651E"/>
    <w:rsid w:val="00026557"/>
    <w:rsid w:val="000312CE"/>
    <w:rsid w:val="00041039"/>
    <w:rsid w:val="000513B2"/>
    <w:rsid w:val="0005164B"/>
    <w:rsid w:val="00057DCF"/>
    <w:rsid w:val="00061C83"/>
    <w:rsid w:val="00074409"/>
    <w:rsid w:val="00075561"/>
    <w:rsid w:val="00076A19"/>
    <w:rsid w:val="000847C8"/>
    <w:rsid w:val="00090312"/>
    <w:rsid w:val="000E6AD7"/>
    <w:rsid w:val="000F4C11"/>
    <w:rsid w:val="00100FF6"/>
    <w:rsid w:val="00122C51"/>
    <w:rsid w:val="001452B7"/>
    <w:rsid w:val="001459E5"/>
    <w:rsid w:val="00154423"/>
    <w:rsid w:val="001601DA"/>
    <w:rsid w:val="00163AA2"/>
    <w:rsid w:val="00165BD6"/>
    <w:rsid w:val="00176333"/>
    <w:rsid w:val="001765B8"/>
    <w:rsid w:val="0018097B"/>
    <w:rsid w:val="001979E2"/>
    <w:rsid w:val="001B0913"/>
    <w:rsid w:val="001B512F"/>
    <w:rsid w:val="001B5F53"/>
    <w:rsid w:val="001B6550"/>
    <w:rsid w:val="001C4A14"/>
    <w:rsid w:val="001C7523"/>
    <w:rsid w:val="001D5CFB"/>
    <w:rsid w:val="001E4186"/>
    <w:rsid w:val="001F192F"/>
    <w:rsid w:val="00227441"/>
    <w:rsid w:val="00235B74"/>
    <w:rsid w:val="00236761"/>
    <w:rsid w:val="002475AA"/>
    <w:rsid w:val="00253CDE"/>
    <w:rsid w:val="00256105"/>
    <w:rsid w:val="00260071"/>
    <w:rsid w:val="00267550"/>
    <w:rsid w:val="002722DA"/>
    <w:rsid w:val="00273695"/>
    <w:rsid w:val="002766D2"/>
    <w:rsid w:val="002810C0"/>
    <w:rsid w:val="002822EE"/>
    <w:rsid w:val="0029372A"/>
    <w:rsid w:val="002975AB"/>
    <w:rsid w:val="002A47F5"/>
    <w:rsid w:val="002A5886"/>
    <w:rsid w:val="002A7653"/>
    <w:rsid w:val="002B5B4C"/>
    <w:rsid w:val="002C4DE8"/>
    <w:rsid w:val="002D5B44"/>
    <w:rsid w:val="002D6863"/>
    <w:rsid w:val="002D7D79"/>
    <w:rsid w:val="002E28DD"/>
    <w:rsid w:val="002F35FF"/>
    <w:rsid w:val="00300618"/>
    <w:rsid w:val="003136D7"/>
    <w:rsid w:val="003145D9"/>
    <w:rsid w:val="00315A6E"/>
    <w:rsid w:val="00320FB7"/>
    <w:rsid w:val="0033609B"/>
    <w:rsid w:val="00343438"/>
    <w:rsid w:val="00343975"/>
    <w:rsid w:val="00343A14"/>
    <w:rsid w:val="00345C5E"/>
    <w:rsid w:val="00347484"/>
    <w:rsid w:val="00356E6F"/>
    <w:rsid w:val="00364083"/>
    <w:rsid w:val="003717FB"/>
    <w:rsid w:val="00380AEA"/>
    <w:rsid w:val="00385B80"/>
    <w:rsid w:val="00392077"/>
    <w:rsid w:val="003972FD"/>
    <w:rsid w:val="003A5B08"/>
    <w:rsid w:val="003D3A9F"/>
    <w:rsid w:val="003E7838"/>
    <w:rsid w:val="003F256E"/>
    <w:rsid w:val="00402FAC"/>
    <w:rsid w:val="00404AEE"/>
    <w:rsid w:val="004104DB"/>
    <w:rsid w:val="0041175E"/>
    <w:rsid w:val="00414137"/>
    <w:rsid w:val="0041792F"/>
    <w:rsid w:val="004422E6"/>
    <w:rsid w:val="00450A66"/>
    <w:rsid w:val="0045572C"/>
    <w:rsid w:val="0046194F"/>
    <w:rsid w:val="00461B12"/>
    <w:rsid w:val="004639DD"/>
    <w:rsid w:val="0046735F"/>
    <w:rsid w:val="004725B9"/>
    <w:rsid w:val="00480741"/>
    <w:rsid w:val="004A445F"/>
    <w:rsid w:val="004C3482"/>
    <w:rsid w:val="004D3464"/>
    <w:rsid w:val="004E388A"/>
    <w:rsid w:val="004E7189"/>
    <w:rsid w:val="00510968"/>
    <w:rsid w:val="005147BE"/>
    <w:rsid w:val="00522654"/>
    <w:rsid w:val="00523B4F"/>
    <w:rsid w:val="005254F2"/>
    <w:rsid w:val="00531B07"/>
    <w:rsid w:val="00533726"/>
    <w:rsid w:val="0054001E"/>
    <w:rsid w:val="00540C60"/>
    <w:rsid w:val="005450AD"/>
    <w:rsid w:val="00545A07"/>
    <w:rsid w:val="00550E61"/>
    <w:rsid w:val="00553FA7"/>
    <w:rsid w:val="005601D2"/>
    <w:rsid w:val="00571D64"/>
    <w:rsid w:val="00576BD1"/>
    <w:rsid w:val="00582F59"/>
    <w:rsid w:val="00587CB2"/>
    <w:rsid w:val="00590122"/>
    <w:rsid w:val="00590921"/>
    <w:rsid w:val="005971CE"/>
    <w:rsid w:val="005A3B6D"/>
    <w:rsid w:val="005B25D8"/>
    <w:rsid w:val="005C5111"/>
    <w:rsid w:val="005D2B3C"/>
    <w:rsid w:val="005D3BB4"/>
    <w:rsid w:val="005E59BC"/>
    <w:rsid w:val="005E7C32"/>
    <w:rsid w:val="005F2100"/>
    <w:rsid w:val="00603BE9"/>
    <w:rsid w:val="006056C0"/>
    <w:rsid w:val="00605C87"/>
    <w:rsid w:val="0061572F"/>
    <w:rsid w:val="00631471"/>
    <w:rsid w:val="00656C0B"/>
    <w:rsid w:val="00660DB8"/>
    <w:rsid w:val="00662D91"/>
    <w:rsid w:val="00667DC2"/>
    <w:rsid w:val="006917F4"/>
    <w:rsid w:val="0069281D"/>
    <w:rsid w:val="006A1840"/>
    <w:rsid w:val="006A1D99"/>
    <w:rsid w:val="006A590F"/>
    <w:rsid w:val="006A7505"/>
    <w:rsid w:val="006B1589"/>
    <w:rsid w:val="006B21C8"/>
    <w:rsid w:val="006C088C"/>
    <w:rsid w:val="006C256A"/>
    <w:rsid w:val="006C2F31"/>
    <w:rsid w:val="006D1774"/>
    <w:rsid w:val="006E1BDD"/>
    <w:rsid w:val="006E5A9F"/>
    <w:rsid w:val="006F1AD4"/>
    <w:rsid w:val="00711929"/>
    <w:rsid w:val="00730130"/>
    <w:rsid w:val="007370C4"/>
    <w:rsid w:val="00741BA4"/>
    <w:rsid w:val="00745742"/>
    <w:rsid w:val="00750189"/>
    <w:rsid w:val="00750C08"/>
    <w:rsid w:val="00752C88"/>
    <w:rsid w:val="00756027"/>
    <w:rsid w:val="00763B45"/>
    <w:rsid w:val="00764466"/>
    <w:rsid w:val="00775063"/>
    <w:rsid w:val="007862BD"/>
    <w:rsid w:val="0079797C"/>
    <w:rsid w:val="007B3F90"/>
    <w:rsid w:val="007B7E0A"/>
    <w:rsid w:val="007C26C2"/>
    <w:rsid w:val="007C2BD1"/>
    <w:rsid w:val="007C4208"/>
    <w:rsid w:val="007C47F2"/>
    <w:rsid w:val="007D62F3"/>
    <w:rsid w:val="007E0E20"/>
    <w:rsid w:val="007E6F8E"/>
    <w:rsid w:val="007F0F57"/>
    <w:rsid w:val="007F3762"/>
    <w:rsid w:val="00804A89"/>
    <w:rsid w:val="0081073C"/>
    <w:rsid w:val="00823103"/>
    <w:rsid w:val="00823A43"/>
    <w:rsid w:val="00823D9E"/>
    <w:rsid w:val="00824DAB"/>
    <w:rsid w:val="008815FB"/>
    <w:rsid w:val="00883D69"/>
    <w:rsid w:val="00885B06"/>
    <w:rsid w:val="00887856"/>
    <w:rsid w:val="008B113B"/>
    <w:rsid w:val="008B3B57"/>
    <w:rsid w:val="008B3FE7"/>
    <w:rsid w:val="008C3498"/>
    <w:rsid w:val="008C3FDF"/>
    <w:rsid w:val="008D0C6F"/>
    <w:rsid w:val="008E0D8E"/>
    <w:rsid w:val="008E1FD4"/>
    <w:rsid w:val="009210B1"/>
    <w:rsid w:val="00930D43"/>
    <w:rsid w:val="009415D5"/>
    <w:rsid w:val="00941EB2"/>
    <w:rsid w:val="0094354A"/>
    <w:rsid w:val="00952675"/>
    <w:rsid w:val="00961761"/>
    <w:rsid w:val="00963D43"/>
    <w:rsid w:val="0097457C"/>
    <w:rsid w:val="00987D68"/>
    <w:rsid w:val="00987E11"/>
    <w:rsid w:val="009928B6"/>
    <w:rsid w:val="00997C65"/>
    <w:rsid w:val="009A76A0"/>
    <w:rsid w:val="009B0D31"/>
    <w:rsid w:val="009B1198"/>
    <w:rsid w:val="009C1618"/>
    <w:rsid w:val="009E0D0D"/>
    <w:rsid w:val="009E4076"/>
    <w:rsid w:val="009E570F"/>
    <w:rsid w:val="00A10090"/>
    <w:rsid w:val="00A12E60"/>
    <w:rsid w:val="00A153C4"/>
    <w:rsid w:val="00A3350B"/>
    <w:rsid w:val="00A33650"/>
    <w:rsid w:val="00A37DD9"/>
    <w:rsid w:val="00A42DB7"/>
    <w:rsid w:val="00A52100"/>
    <w:rsid w:val="00A54C43"/>
    <w:rsid w:val="00A80D79"/>
    <w:rsid w:val="00A917EC"/>
    <w:rsid w:val="00AA202F"/>
    <w:rsid w:val="00AA4BEB"/>
    <w:rsid w:val="00AB0550"/>
    <w:rsid w:val="00AB174A"/>
    <w:rsid w:val="00AB1833"/>
    <w:rsid w:val="00AB3B78"/>
    <w:rsid w:val="00AB3BFF"/>
    <w:rsid w:val="00AB4A0D"/>
    <w:rsid w:val="00AD3B89"/>
    <w:rsid w:val="00AD4D2C"/>
    <w:rsid w:val="00AD7743"/>
    <w:rsid w:val="00AE2176"/>
    <w:rsid w:val="00AE4A9E"/>
    <w:rsid w:val="00AF3220"/>
    <w:rsid w:val="00B0123F"/>
    <w:rsid w:val="00B01A18"/>
    <w:rsid w:val="00B01D66"/>
    <w:rsid w:val="00B076F4"/>
    <w:rsid w:val="00B1192E"/>
    <w:rsid w:val="00B23DE1"/>
    <w:rsid w:val="00B27AFD"/>
    <w:rsid w:val="00B50D2C"/>
    <w:rsid w:val="00B52079"/>
    <w:rsid w:val="00B60AA0"/>
    <w:rsid w:val="00B7029D"/>
    <w:rsid w:val="00B7780D"/>
    <w:rsid w:val="00B81D8D"/>
    <w:rsid w:val="00B90B2A"/>
    <w:rsid w:val="00B934B3"/>
    <w:rsid w:val="00B96A57"/>
    <w:rsid w:val="00BA0693"/>
    <w:rsid w:val="00BC03B3"/>
    <w:rsid w:val="00BC0CDE"/>
    <w:rsid w:val="00BC6EA0"/>
    <w:rsid w:val="00C00032"/>
    <w:rsid w:val="00C053E0"/>
    <w:rsid w:val="00C22E59"/>
    <w:rsid w:val="00C25C43"/>
    <w:rsid w:val="00C31361"/>
    <w:rsid w:val="00C31E92"/>
    <w:rsid w:val="00C34933"/>
    <w:rsid w:val="00C42A2B"/>
    <w:rsid w:val="00C44271"/>
    <w:rsid w:val="00C52868"/>
    <w:rsid w:val="00C52D99"/>
    <w:rsid w:val="00C57C90"/>
    <w:rsid w:val="00C740D3"/>
    <w:rsid w:val="00C805F4"/>
    <w:rsid w:val="00C85845"/>
    <w:rsid w:val="00C86171"/>
    <w:rsid w:val="00C87D8B"/>
    <w:rsid w:val="00C90594"/>
    <w:rsid w:val="00C9298A"/>
    <w:rsid w:val="00C92FB8"/>
    <w:rsid w:val="00C96B55"/>
    <w:rsid w:val="00CB5DAB"/>
    <w:rsid w:val="00CC0C5F"/>
    <w:rsid w:val="00CC5B9C"/>
    <w:rsid w:val="00CD01F8"/>
    <w:rsid w:val="00CD2D6D"/>
    <w:rsid w:val="00CD3A95"/>
    <w:rsid w:val="00CD5ACF"/>
    <w:rsid w:val="00CE4087"/>
    <w:rsid w:val="00CE4663"/>
    <w:rsid w:val="00CE6C0B"/>
    <w:rsid w:val="00CE7BA8"/>
    <w:rsid w:val="00D016D1"/>
    <w:rsid w:val="00D0523D"/>
    <w:rsid w:val="00D1218B"/>
    <w:rsid w:val="00D12AAA"/>
    <w:rsid w:val="00D1654E"/>
    <w:rsid w:val="00D21BE8"/>
    <w:rsid w:val="00D248AA"/>
    <w:rsid w:val="00D25C5F"/>
    <w:rsid w:val="00D34FE3"/>
    <w:rsid w:val="00D3532F"/>
    <w:rsid w:val="00D40563"/>
    <w:rsid w:val="00D47BCB"/>
    <w:rsid w:val="00D5466F"/>
    <w:rsid w:val="00D63FC1"/>
    <w:rsid w:val="00D64912"/>
    <w:rsid w:val="00D65C4D"/>
    <w:rsid w:val="00D7738E"/>
    <w:rsid w:val="00DA6827"/>
    <w:rsid w:val="00DA725A"/>
    <w:rsid w:val="00DB5F5E"/>
    <w:rsid w:val="00DC2564"/>
    <w:rsid w:val="00DF2230"/>
    <w:rsid w:val="00DF31F4"/>
    <w:rsid w:val="00DF34B5"/>
    <w:rsid w:val="00DF5E82"/>
    <w:rsid w:val="00DF72F3"/>
    <w:rsid w:val="00E00075"/>
    <w:rsid w:val="00E05CF3"/>
    <w:rsid w:val="00E130A3"/>
    <w:rsid w:val="00E13A59"/>
    <w:rsid w:val="00E218AF"/>
    <w:rsid w:val="00E368A3"/>
    <w:rsid w:val="00E47D60"/>
    <w:rsid w:val="00E514CD"/>
    <w:rsid w:val="00E572C1"/>
    <w:rsid w:val="00E60C8E"/>
    <w:rsid w:val="00E6110C"/>
    <w:rsid w:val="00E64F6D"/>
    <w:rsid w:val="00E66A97"/>
    <w:rsid w:val="00E779EC"/>
    <w:rsid w:val="00E917F1"/>
    <w:rsid w:val="00ED7642"/>
    <w:rsid w:val="00EE6425"/>
    <w:rsid w:val="00EF4DAD"/>
    <w:rsid w:val="00F01135"/>
    <w:rsid w:val="00F0364B"/>
    <w:rsid w:val="00F0720C"/>
    <w:rsid w:val="00F220CC"/>
    <w:rsid w:val="00F27DD5"/>
    <w:rsid w:val="00F5132A"/>
    <w:rsid w:val="00F553F1"/>
    <w:rsid w:val="00F62A3C"/>
    <w:rsid w:val="00F676C5"/>
    <w:rsid w:val="00F80DE1"/>
    <w:rsid w:val="00F81FD1"/>
    <w:rsid w:val="00F85F13"/>
    <w:rsid w:val="00FA2F47"/>
    <w:rsid w:val="00FB1984"/>
    <w:rsid w:val="00FC17EC"/>
    <w:rsid w:val="00FD55B0"/>
    <w:rsid w:val="00FF549C"/>
    <w:rsid w:val="25E361CF"/>
    <w:rsid w:val="377811B2"/>
    <w:rsid w:val="385150AE"/>
    <w:rsid w:val="78F04F10"/>
    <w:rsid w:val="7C490A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8"/>
    <w:semiHidden/>
    <w:unhideWhenUsed/>
    <w:qFormat/>
    <w:uiPriority w:val="99"/>
    <w:pPr>
      <w:spacing w:after="120"/>
      <w:ind w:left="420" w:leftChars="200"/>
    </w:p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3"/>
    <w:semiHidden/>
    <w:unhideWhenUsed/>
    <w:qFormat/>
    <w:uiPriority w:val="99"/>
    <w:pPr>
      <w:spacing w:line="240" w:lineRule="auto"/>
    </w:pPr>
    <w:rPr>
      <w:sz w:val="18"/>
      <w:szCs w:val="18"/>
    </w:rPr>
  </w:style>
  <w:style w:type="paragraph" w:styleId="5">
    <w:name w:val="footer"/>
    <w:basedOn w:val="1"/>
    <w:link w:val="11"/>
    <w:unhideWhenUsed/>
    <w:qFormat/>
    <w:uiPriority w:val="99"/>
    <w:pPr>
      <w:tabs>
        <w:tab w:val="center" w:pos="4153"/>
        <w:tab w:val="right" w:pos="8306"/>
      </w:tabs>
      <w:snapToGrid w:val="0"/>
      <w:spacing w:line="240" w:lineRule="auto"/>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character" w:styleId="9">
    <w:name w:val="Hyperlink"/>
    <w:basedOn w:val="8"/>
    <w:unhideWhenUsed/>
    <w:qFormat/>
    <w:uiPriority w:val="99"/>
    <w:rPr>
      <w:color w:val="0000FF" w:themeColor="hyperlink"/>
      <w:u w:val="single"/>
      <w14:textFill>
        <w14:solidFill>
          <w14:schemeClr w14:val="hlink"/>
        </w14:solidFill>
      </w14:textFill>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批注框文本 字符"/>
    <w:basedOn w:val="8"/>
    <w:link w:val="4"/>
    <w:semiHidden/>
    <w:qFormat/>
    <w:uiPriority w:val="99"/>
    <w:rPr>
      <w:sz w:val="18"/>
      <w:szCs w:val="18"/>
    </w:rPr>
  </w:style>
  <w:style w:type="character" w:customStyle="1" w:styleId="14">
    <w:name w:val="日期 字符"/>
    <w:basedOn w:val="8"/>
    <w:link w:val="3"/>
    <w:semiHidden/>
    <w:qFormat/>
    <w:uiPriority w:val="99"/>
  </w:style>
  <w:style w:type="paragraph" w:customStyle="1" w:styleId="15">
    <w:name w:val="列出段落1"/>
    <w:basedOn w:val="1"/>
    <w:qFormat/>
    <w:uiPriority w:val="34"/>
    <w:pPr>
      <w:ind w:firstLine="420" w:firstLineChars="200"/>
    </w:pPr>
  </w:style>
  <w:style w:type="character" w:customStyle="1" w:styleId="16">
    <w:name w:val="XW正文 Char1"/>
    <w:link w:val="17"/>
    <w:uiPriority w:val="0"/>
    <w:rPr>
      <w:rFonts w:eastAsia="宋体"/>
      <w:sz w:val="24"/>
      <w:szCs w:val="24"/>
      <w:lang w:bidi="he-IL"/>
    </w:rPr>
  </w:style>
  <w:style w:type="paragraph" w:customStyle="1" w:styleId="17">
    <w:name w:val="XW正文"/>
    <w:basedOn w:val="2"/>
    <w:link w:val="16"/>
    <w:qFormat/>
    <w:uiPriority w:val="0"/>
    <w:pPr>
      <w:adjustRightInd w:val="0"/>
      <w:spacing w:after="0" w:line="440" w:lineRule="exact"/>
      <w:ind w:left="0" w:leftChars="0"/>
      <w:textAlignment w:val="baseline"/>
    </w:pPr>
    <w:rPr>
      <w:rFonts w:eastAsia="宋体"/>
      <w:sz w:val="24"/>
      <w:szCs w:val="24"/>
      <w:lang w:bidi="he-IL"/>
    </w:rPr>
  </w:style>
  <w:style w:type="character" w:customStyle="1" w:styleId="18">
    <w:name w:val="正文文本缩进 字符"/>
    <w:basedOn w:val="8"/>
    <w:link w:val="2"/>
    <w:semiHidden/>
    <w:qFormat/>
    <w:uiPriority w:val="99"/>
  </w:style>
  <w:style w:type="paragraph" w:customStyle="1" w:styleId="19">
    <w:name w:val="Default"/>
    <w:qFormat/>
    <w:uiPriority w:val="0"/>
    <w:pPr>
      <w:widowControl w:val="0"/>
      <w:autoSpaceDE w:val="0"/>
      <w:autoSpaceDN w:val="0"/>
      <w:adjustRightInd w:val="0"/>
      <w:spacing w:line="240" w:lineRule="auto"/>
    </w:pPr>
    <w:rPr>
      <w:rFonts w:ascii="宋体" w:eastAsia="宋体" w:cs="宋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148519-5F56-4D08-AA5C-1D7E3F81CCF2}">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3</Pages>
  <Words>1392</Words>
  <Characters>1442</Characters>
  <Lines>40</Lines>
  <Paragraphs>11</Paragraphs>
  <TotalTime>25</TotalTime>
  <ScaleCrop>false</ScaleCrop>
  <LinksUpToDate>false</LinksUpToDate>
  <CharactersWithSpaces>1715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2017-08-16T00:57:00Z</dcterms:created>
  <dc:creator>zhangq</dc:creator>
  <cp:lastModifiedBy>顾盼流年</cp:lastModifiedBy>
  <cp:lastPrinted>2017-09-06T03:51:00Z</cp:lastPrinted>
  <dcterms:modified xsi:type="dcterms:W3CDTF">2024-07-30T14:03:24Z</dcterms:modified>
  <cp:revision>282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9FE5A4328EB949F89D1605FE73DE93FD_12</vt:lpwstr>
  </property>
</Properties>
</file>